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0"/>
        </w:tabs>
        <w:kinsoku/>
        <w:wordWrap/>
        <w:topLinePunct w:val="0"/>
        <w:bidi w:val="0"/>
        <w:snapToGrid/>
        <w:spacing w:after="0"/>
        <w:rPr>
          <w:sz w:val="22"/>
        </w:rPr>
      </w:pPr>
      <w:bookmarkStart w:id="3" w:name="_GoBack"/>
      <w:bookmarkEnd w:id="3"/>
      <w:bookmarkStart w:id="0" w:name="_Ref494746248"/>
      <w:bookmarkStart w:id="1" w:name="_Ref4817"/>
      <w:r>
        <w:rPr>
          <w:rFonts w:ascii="Arial" w:hAnsi="Arial" w:cs="Arial"/>
          <w:b/>
          <w:sz w:val="22"/>
        </w:rPr>
        <w:t>3GPP TSG RAN WG1 #10</w:t>
      </w:r>
      <w:r>
        <w:rPr>
          <w:rFonts w:hint="eastAsia" w:ascii="Arial" w:hAnsi="Arial" w:cs="Arial"/>
          <w:b/>
          <w:sz w:val="22"/>
        </w:rPr>
        <w:t>5-</w:t>
      </w:r>
      <w:r>
        <w:rPr>
          <w:rFonts w:ascii="Arial" w:hAnsi="Arial" w:cs="Arial"/>
          <w:b/>
          <w:sz w:val="22"/>
        </w:rPr>
        <w:t>e</w:t>
      </w:r>
      <w:r>
        <w:rPr>
          <w:rFonts w:ascii="Arial" w:hAnsi="Arial" w:cs="Arial"/>
          <w:b/>
          <w:sz w:val="22"/>
        </w:rPr>
        <w:tab/>
      </w:r>
      <w:r>
        <w:rPr>
          <w:rFonts w:ascii="Arial" w:hAnsi="Arial" w:cs="Arial"/>
          <w:b/>
          <w:sz w:val="22"/>
        </w:rPr>
        <w:t>R1-2104341</w:t>
      </w:r>
    </w:p>
    <w:p>
      <w:pPr>
        <w:keepNext w:val="0"/>
        <w:keepLines w:val="0"/>
        <w:pageBreakBefore w:val="0"/>
        <w:widowControl w:val="0"/>
        <w:tabs>
          <w:tab w:val="right" w:pos="9630"/>
        </w:tabs>
        <w:kinsoku/>
        <w:wordWrap/>
        <w:topLinePunct w:val="0"/>
        <w:bidi w:val="0"/>
        <w:snapToGrid/>
        <w:spacing w:after="0"/>
        <w:rPr>
          <w:rFonts w:ascii="Arial" w:hAnsi="Arial" w:cs="Arial"/>
          <w:b/>
          <w:sz w:val="22"/>
        </w:rPr>
      </w:pPr>
      <w:r>
        <w:rPr>
          <w:rFonts w:ascii="Arial" w:hAnsi="Arial" w:cs="Arial"/>
          <w:b/>
          <w:sz w:val="22"/>
        </w:rPr>
        <w:t>e-Meeting, May 10</w:t>
      </w:r>
      <w:r>
        <w:rPr>
          <w:rFonts w:ascii="Arial" w:hAnsi="Arial" w:cs="Arial"/>
          <w:b/>
          <w:sz w:val="22"/>
          <w:vertAlign w:val="superscript"/>
        </w:rPr>
        <w:t>th</w:t>
      </w:r>
      <w:r>
        <w:rPr>
          <w:rFonts w:ascii="Arial" w:hAnsi="Arial" w:cs="Arial"/>
          <w:b/>
          <w:sz w:val="22"/>
        </w:rPr>
        <w:t xml:space="preserve"> – 27</w:t>
      </w:r>
      <w:r>
        <w:rPr>
          <w:rFonts w:ascii="Arial" w:hAnsi="Arial" w:cs="Arial"/>
          <w:b/>
          <w:sz w:val="22"/>
          <w:vertAlign w:val="superscript"/>
        </w:rPr>
        <w:t>th</w:t>
      </w:r>
      <w:r>
        <w:rPr>
          <w:rFonts w:ascii="Arial" w:hAnsi="Arial" w:cs="Arial"/>
          <w:b/>
          <w:sz w:val="22"/>
        </w:rPr>
        <w:t>, 2021</w:t>
      </w:r>
      <w:r>
        <w:rPr>
          <w:rFonts w:ascii="Arial" w:hAnsi="Arial" w:cs="Arial"/>
          <w:b/>
          <w:sz w:val="22"/>
        </w:rPr>
        <w:tab/>
      </w:r>
    </w:p>
    <w:p>
      <w:pPr>
        <w:pStyle w:val="37"/>
        <w:keepNext w:val="0"/>
        <w:keepLines w:val="0"/>
        <w:pageBreakBefore w:val="0"/>
        <w:widowControl w:val="0"/>
        <w:kinsoku/>
        <w:wordWrap/>
        <w:topLinePunct w:val="0"/>
        <w:bidi w:val="0"/>
        <w:snapToGrid/>
        <w:jc w:val="both"/>
      </w:pPr>
    </w:p>
    <w:p>
      <w:pPr>
        <w:keepNext w:val="0"/>
        <w:keepLines w:val="0"/>
        <w:pageBreakBefore w:val="0"/>
        <w:widowControl w:val="0"/>
        <w:tabs>
          <w:tab w:val="left" w:pos="1985"/>
        </w:tabs>
        <w:kinsoku/>
        <w:wordWrap/>
        <w:topLinePunct w:val="0"/>
        <w:bidi w:val="0"/>
        <w:snapToGrid/>
        <w:spacing w:after="0"/>
        <w:rPr>
          <w:rFonts w:ascii="Arial" w:hAnsi="Arial"/>
          <w:b/>
          <w:szCs w:val="20"/>
        </w:rPr>
      </w:pPr>
      <w:r>
        <w:rPr>
          <w:rFonts w:ascii="Arial" w:hAnsi="Arial"/>
          <w:b/>
          <w:szCs w:val="20"/>
        </w:rPr>
        <w:t xml:space="preserve">Source: </w:t>
      </w:r>
      <w:r>
        <w:rPr>
          <w:rFonts w:ascii="Arial" w:hAnsi="Arial"/>
          <w:b/>
          <w:szCs w:val="20"/>
        </w:rPr>
        <w:tab/>
      </w:r>
      <w:r>
        <w:rPr>
          <w:rFonts w:ascii="Arial" w:hAnsi="Arial"/>
          <w:b/>
          <w:szCs w:val="20"/>
        </w:rPr>
        <w:t>ZTE</w:t>
      </w:r>
    </w:p>
    <w:p>
      <w:pPr>
        <w:keepNext w:val="0"/>
        <w:keepLines w:val="0"/>
        <w:pageBreakBefore w:val="0"/>
        <w:widowControl w:val="0"/>
        <w:kinsoku/>
        <w:wordWrap/>
        <w:topLinePunct w:val="0"/>
        <w:bidi w:val="0"/>
        <w:snapToGrid/>
        <w:spacing w:after="0"/>
        <w:ind w:left="1988" w:hanging="1988"/>
        <w:rPr>
          <w:rFonts w:ascii="Arial" w:hAnsi="Arial"/>
          <w:b/>
          <w:szCs w:val="20"/>
        </w:rPr>
      </w:pPr>
      <w:r>
        <w:rPr>
          <w:rFonts w:ascii="Arial" w:hAnsi="Arial"/>
          <w:b/>
          <w:szCs w:val="20"/>
        </w:rPr>
        <w:t xml:space="preserve">Title: </w:t>
      </w:r>
      <w:r>
        <w:rPr>
          <w:rFonts w:ascii="Arial" w:hAnsi="Arial"/>
          <w:b/>
          <w:szCs w:val="20"/>
        </w:rPr>
        <w:tab/>
      </w:r>
      <w:r>
        <w:rPr>
          <w:rFonts w:ascii="Arial" w:hAnsi="Arial"/>
          <w:b/>
          <w:szCs w:val="20"/>
        </w:rPr>
        <w:t>Discussion on Multi-cell PDSCH Scheduling via a Single DCI</w:t>
      </w:r>
    </w:p>
    <w:p>
      <w:pPr>
        <w:keepNext w:val="0"/>
        <w:keepLines w:val="0"/>
        <w:pageBreakBefore w:val="0"/>
        <w:widowControl w:val="0"/>
        <w:tabs>
          <w:tab w:val="left" w:pos="1985"/>
        </w:tabs>
        <w:kinsoku/>
        <w:wordWrap/>
        <w:topLinePunct w:val="0"/>
        <w:bidi w:val="0"/>
        <w:snapToGrid/>
        <w:spacing w:after="0"/>
        <w:rPr>
          <w:rFonts w:ascii="Arial" w:hAnsi="Arial"/>
          <w:b/>
          <w:szCs w:val="20"/>
        </w:rPr>
      </w:pPr>
      <w:r>
        <w:rPr>
          <w:rFonts w:ascii="Arial" w:hAnsi="Arial"/>
          <w:b/>
          <w:szCs w:val="20"/>
        </w:rPr>
        <w:t>Agenda item:</w:t>
      </w:r>
      <w:r>
        <w:rPr>
          <w:rFonts w:ascii="Arial" w:hAnsi="Arial"/>
          <w:b/>
          <w:szCs w:val="20"/>
        </w:rPr>
        <w:tab/>
      </w:r>
      <w:r>
        <w:rPr>
          <w:rFonts w:ascii="Arial" w:hAnsi="Arial"/>
          <w:b/>
          <w:szCs w:val="20"/>
        </w:rPr>
        <w:t>8.13.2</w:t>
      </w:r>
    </w:p>
    <w:p>
      <w:pPr>
        <w:keepNext w:val="0"/>
        <w:keepLines w:val="0"/>
        <w:pageBreakBefore w:val="0"/>
        <w:widowControl w:val="0"/>
        <w:kinsoku/>
        <w:wordWrap/>
        <w:overflowPunct/>
        <w:topLinePunct w:val="0"/>
        <w:autoSpaceDE/>
        <w:autoSpaceDN/>
        <w:bidi w:val="0"/>
        <w:adjustRightInd/>
        <w:snapToGrid/>
        <w:spacing w:after="240"/>
        <w:ind w:left="1990" w:hanging="1990"/>
        <w:textAlignment w:val="auto"/>
        <w:rPr>
          <w:rFonts w:ascii="Arial" w:hAnsi="Arial"/>
          <w:b/>
          <w:szCs w:val="20"/>
        </w:rPr>
      </w:pPr>
      <w:r>
        <w:rPr>
          <w:rFonts w:ascii="Arial" w:hAnsi="Arial"/>
          <w:b/>
          <w:szCs w:val="20"/>
        </w:rPr>
        <w:t>Document for:</w:t>
      </w:r>
      <w:r>
        <w:rPr>
          <w:rFonts w:ascii="Arial" w:hAnsi="Arial"/>
          <w:b/>
          <w:szCs w:val="20"/>
        </w:rPr>
        <w:tab/>
      </w:r>
      <w:bookmarkStart w:id="2" w:name="DocumentFor"/>
      <w:bookmarkEnd w:id="2"/>
      <w:r>
        <w:rPr>
          <w:rFonts w:ascii="Arial" w:hAnsi="Arial"/>
          <w:b/>
          <w:szCs w:val="20"/>
        </w:rPr>
        <w:t>Discussion/Decision</w:t>
      </w:r>
    </w:p>
    <w:p>
      <w:pPr>
        <w:pStyle w:val="2"/>
      </w:pPr>
      <w:r>
        <w:t>Introduction</w:t>
      </w:r>
      <w:bookmarkEnd w:id="0"/>
      <w:bookmarkEnd w:id="1"/>
    </w:p>
    <w:p>
      <w:pPr>
        <w:rPr>
          <w:rFonts w:cs="Times New Roman"/>
          <w:szCs w:val="20"/>
          <w:lang w:val="en-GB"/>
        </w:rPr>
      </w:pPr>
      <w:r>
        <w:rPr>
          <w:rFonts w:cs="Times New Roman"/>
          <w:szCs w:val="20"/>
          <w:lang w:val="en-GB"/>
        </w:rPr>
        <w:t>During RAN</w:t>
      </w:r>
      <w:r>
        <w:rPr>
          <w:rFonts w:hint="eastAsia" w:eastAsia="宋体" w:cs="Times New Roman"/>
          <w:szCs w:val="20"/>
          <w:lang w:val="en-US" w:eastAsia="zh-CN"/>
        </w:rPr>
        <w:t xml:space="preserve"> </w:t>
      </w:r>
      <w:r>
        <w:rPr>
          <w:rFonts w:cs="Times New Roman"/>
          <w:szCs w:val="20"/>
          <w:lang w:val="en-GB"/>
        </w:rPr>
        <w:t xml:space="preserve">#86 meeting, a new work item on DSS (dynamic spectrum sharing) was approved for Rel-17 [1]. In this WI, two main objectives are included, i.e., SCell-schedule-PCell and one-to-two scheduling. The two objectives are mainly introduced to reduce the PDCCH blockage issue under DSS scenario. </w:t>
      </w:r>
    </w:p>
    <w:p>
      <w:pPr>
        <w:spacing w:before="120" w:beforeLines="50"/>
        <w:rPr>
          <w:rFonts w:cs="Times New Roman"/>
          <w:szCs w:val="20"/>
        </w:rPr>
      </w:pPr>
      <w:r>
        <w:rPr>
          <w:rFonts w:cs="Times New Roman"/>
          <w:szCs w:val="20"/>
        </w:rPr>
        <w:t>During RAN1</w:t>
      </w:r>
      <w:r>
        <w:rPr>
          <w:rFonts w:hint="eastAsia" w:eastAsia="宋体" w:cs="Times New Roman"/>
          <w:szCs w:val="20"/>
          <w:lang w:val="en-US" w:eastAsia="zh-CN"/>
        </w:rPr>
        <w:t xml:space="preserve"> </w:t>
      </w:r>
      <w:r>
        <w:rPr>
          <w:rFonts w:cs="Times New Roman"/>
          <w:szCs w:val="20"/>
        </w:rPr>
        <w:t>#103-e meeting, some progress on simulation assumptions were made [2] and the detailed agreements are summarized in the Appendix Section 7.5. During RAN1</w:t>
      </w:r>
      <w:r>
        <w:rPr>
          <w:rFonts w:hint="eastAsia" w:eastAsia="宋体" w:cs="Times New Roman"/>
          <w:szCs w:val="20"/>
          <w:lang w:val="en-US" w:eastAsia="zh-CN"/>
        </w:rPr>
        <w:t xml:space="preserve"> </w:t>
      </w:r>
      <w:r>
        <w:rPr>
          <w:rFonts w:cs="Times New Roman"/>
          <w:szCs w:val="20"/>
        </w:rPr>
        <w:t>#104-e meeting, RAN1 made some observations for PDCCH blocking rate and PDSCH throughput for different cases based on companies input [3]. During RAN</w:t>
      </w:r>
      <w:r>
        <w:rPr>
          <w:rFonts w:hint="eastAsia" w:eastAsia="宋体" w:cs="Times New Roman"/>
          <w:szCs w:val="20"/>
          <w:lang w:val="en-US" w:eastAsia="zh-CN"/>
        </w:rPr>
        <w:t xml:space="preserve"> </w:t>
      </w:r>
      <w:r>
        <w:rPr>
          <w:rFonts w:cs="Times New Roman"/>
          <w:szCs w:val="20"/>
        </w:rPr>
        <w:t xml:space="preserve">#91-e meeting, companies discussed whether/how to update the WID for this topic but couldn’t reach any consensus. </w:t>
      </w:r>
    </w:p>
    <w:p>
      <w:pPr>
        <w:spacing w:before="120" w:beforeLines="50"/>
        <w:rPr>
          <w:lang w:val="en-GB"/>
        </w:rPr>
      </w:pPr>
      <w:r>
        <w:rPr>
          <w:rFonts w:cs="Times New Roman"/>
          <w:szCs w:val="20"/>
          <w:lang w:val="en-GB"/>
        </w:rPr>
        <w:t>In this contribution, we provide our analysis for one-to-two scheduling, focusing on the necessity of one-to-two scheduling, simulation results</w:t>
      </w:r>
      <w:r>
        <w:rPr>
          <w:rFonts w:cs="Times New Roman"/>
          <w:szCs w:val="20"/>
        </w:rPr>
        <w:t xml:space="preserve"> and potential open issues</w:t>
      </w:r>
      <w:r>
        <w:rPr>
          <w:rFonts w:cs="Times New Roman"/>
          <w:szCs w:val="20"/>
          <w:lang w:val="en-GB"/>
        </w:rPr>
        <w:t xml:space="preserve">. </w:t>
      </w:r>
      <w:r>
        <w:rPr>
          <w:rFonts w:cs="Times New Roman"/>
          <w:b/>
          <w:szCs w:val="20"/>
          <w:lang w:val="en-GB"/>
        </w:rPr>
        <w:t>Note that the simulation assumptions and simulation results in Section 2 and open issues in Section 4 are resubmissions of what we had in RAN1</w:t>
      </w:r>
      <w:r>
        <w:rPr>
          <w:rFonts w:hint="eastAsia" w:eastAsia="宋体" w:cs="Times New Roman"/>
          <w:b/>
          <w:szCs w:val="20"/>
          <w:lang w:val="en-US" w:eastAsia="zh-CN"/>
        </w:rPr>
        <w:t xml:space="preserve"> </w:t>
      </w:r>
      <w:r>
        <w:rPr>
          <w:rFonts w:cs="Times New Roman"/>
          <w:b/>
          <w:szCs w:val="20"/>
          <w:lang w:val="en-GB"/>
        </w:rPr>
        <w:t>#104-e meeting. In Section 3, we provide our additional analysis for multi-cell scheduling taking into the comments raised in RAN</w:t>
      </w:r>
      <w:r>
        <w:rPr>
          <w:rFonts w:hint="eastAsia" w:eastAsia="宋体" w:cs="Times New Roman"/>
          <w:b/>
          <w:szCs w:val="20"/>
          <w:lang w:val="en-US" w:eastAsia="zh-CN"/>
        </w:rPr>
        <w:t xml:space="preserve"> </w:t>
      </w:r>
      <w:r>
        <w:rPr>
          <w:rFonts w:cs="Times New Roman"/>
          <w:b/>
          <w:szCs w:val="20"/>
          <w:lang w:val="en-GB"/>
        </w:rPr>
        <w:t>#91-e meeting, which includes mainly two parts, multi-cell scheduling for uplink and one DCI scheduling PDSCH/PUSCH for more than 2 cells.</w:t>
      </w:r>
    </w:p>
    <w:p>
      <w:pPr>
        <w:pStyle w:val="2"/>
      </w:pPr>
      <w:r>
        <w:t>Simulation Assumptions and Results</w:t>
      </w:r>
      <w:r>
        <w:rPr>
          <w:rFonts w:hint="eastAsia"/>
          <w:lang w:val="en-US"/>
        </w:rPr>
        <w:t xml:space="preserve"> for One-to-two Downlink Scheduling</w:t>
      </w:r>
    </w:p>
    <w:p>
      <w:pPr>
        <w:pStyle w:val="3"/>
      </w:pPr>
      <w:r>
        <w:rPr>
          <w:rFonts w:hint="eastAsia"/>
        </w:rPr>
        <w:t>S</w:t>
      </w:r>
      <w:r>
        <w:t>imulation introduction</w:t>
      </w:r>
    </w:p>
    <w:p>
      <w:pPr>
        <w:rPr>
          <w:rFonts w:cs="Times New Roman"/>
        </w:rPr>
      </w:pPr>
      <w:r>
        <w:rPr>
          <w:rFonts w:cs="Times New Roman"/>
        </w:rPr>
        <w:t>Based on the agreements in RAN1 #102-e meeting and RAN1</w:t>
      </w:r>
      <w:r>
        <w:rPr>
          <w:rFonts w:hint="eastAsia" w:eastAsia="宋体" w:cs="Times New Roman"/>
          <w:lang w:val="en-US" w:eastAsia="zh-CN"/>
        </w:rPr>
        <w:t xml:space="preserve"> </w:t>
      </w:r>
      <w:r>
        <w:rPr>
          <w:rFonts w:cs="Times New Roman"/>
        </w:rPr>
        <w:t xml:space="preserve">#103-e meeting, the scenario where UE configured with inter-band CA with PCell and an SCell is considered as baseline in the study of one-to-two scheduling, and the scenario where intra-band CA with PCell and an SCell can be also considered. For inter-band CA scenario, different SCS for PCell and SCell is a typical case because of the different carrier frequency in the two cells. Similarly, same SCS for PCell and SCell is a typical case for the intra-band CA scenario. The simulation assumptions and theoretical analysis are made based on the assumption above. </w:t>
      </w:r>
    </w:p>
    <w:p>
      <w:pPr>
        <w:rPr>
          <w:rFonts w:cs="Times New Roman"/>
        </w:rPr>
      </w:pPr>
      <w:r>
        <w:rPr>
          <w:rFonts w:cs="Times New Roman"/>
        </w:rPr>
        <w:t>With common understanding, the size of the single DCI will increase significantly when it schedules PDSCH on two cells especially in inter-band CA scenario, which will lead to a higher aggregation level (AL). It may increase PDCCH blocking rate with high aggregation level. If PDCCH blocking rate of using one bigger size DCI for scheduling PDSCH on two cells is higher than or close to that of using two DCIs with normal size for legacy scheduling, the enhancement of scheduling PDSCH on two cells using a single DCI is meaningless. Therefore, in order to ensure that PDCCH blocking rate has a considerable gain, it is necessary to keep the increased size within a certain threshold.</w:t>
      </w:r>
    </w:p>
    <w:p>
      <w:pPr>
        <w:rPr>
          <w:rFonts w:cs="Times New Roman"/>
        </w:rPr>
      </w:pPr>
      <w:r>
        <w:rPr>
          <w:rFonts w:cs="Times New Roman"/>
        </w:rPr>
        <w:t>To compare the performance of using one bigger size of the single DCI and two DCIs with normal size under typical scenarios, PDCCH blocking rate and the average cell throughput are evaluated via two simulations.</w:t>
      </w:r>
    </w:p>
    <w:p>
      <w:pPr>
        <w:rPr>
          <w:rFonts w:cs="Times New Roman"/>
          <w:b/>
          <w:bCs/>
          <w:u w:val="single"/>
        </w:rPr>
      </w:pPr>
      <w:r>
        <w:rPr>
          <w:rFonts w:cs="Times New Roman"/>
          <w:b/>
          <w:bCs/>
          <w:u w:val="single"/>
        </w:rPr>
        <w:t>Simulation of PDCCH Blocking Rate</w:t>
      </w:r>
    </w:p>
    <w:p>
      <w:pPr>
        <w:rPr>
          <w:rFonts w:cs="Times New Roman"/>
        </w:rPr>
      </w:pPr>
      <w:r>
        <w:rPr>
          <w:rFonts w:cs="Times New Roman"/>
        </w:rPr>
        <w:t>The following steps are adopted to perform the simulation of PDCCH blocking rate comparison.</w:t>
      </w:r>
    </w:p>
    <w:p>
      <w:pPr>
        <w:rPr>
          <w:rFonts w:cs="Times New Roman"/>
        </w:rPr>
      </w:pPr>
      <w:r>
        <w:rPr>
          <w:rFonts w:cs="Times New Roman"/>
        </w:rPr>
        <w:t>Step1: Perform system level simulation to get geometry results in Fig. A-1 and Fig. A-2 for urban scenario;</w:t>
      </w:r>
    </w:p>
    <w:p>
      <w:pPr>
        <w:rPr>
          <w:rFonts w:cs="Times New Roman"/>
        </w:rPr>
      </w:pPr>
      <w:r>
        <w:rPr>
          <w:rFonts w:cs="Times New Roman"/>
        </w:rPr>
        <w:t>Step2: Perform link level simulation to get the BLER-SNR results in Fig. A-3 and Fig. A-4 for PDCCH;</w:t>
      </w:r>
    </w:p>
    <w:p>
      <w:pPr>
        <w:rPr>
          <w:rFonts w:cs="Times New Roman"/>
        </w:rPr>
      </w:pPr>
      <w:r>
        <w:rPr>
          <w:rFonts w:cs="Times New Roman"/>
        </w:rPr>
        <w:t>Step3: Calculate the probability of each aggregation level targeting 10^-2 BLER based on the simulation results in Step1 and Step2;</w:t>
      </w:r>
    </w:p>
    <w:p>
      <w:pPr>
        <w:rPr>
          <w:rFonts w:cs="Times New Roman"/>
        </w:rPr>
      </w:pPr>
      <w:r>
        <w:rPr>
          <w:rFonts w:cs="Times New Roman"/>
        </w:rPr>
        <w:t>Step4: Simulate the PDCCH blocking rate for different cases (i.e., different DCI sizes) based on the probability of each aggregation level in Step3.</w:t>
      </w:r>
    </w:p>
    <w:p>
      <w:pPr>
        <w:rPr>
          <w:rFonts w:cs="Times New Roman"/>
        </w:rPr>
      </w:pPr>
      <w:r>
        <w:rPr>
          <w:rFonts w:cs="Times New Roman"/>
        </w:rPr>
        <w:t xml:space="preserve">Two cases are simulated, one is the legacy DCI (baseline) case and the other is the one-to-two scheduling case. For the baseline legacy scheduling mechanism, two DCIs with normal size are used to schedule PDSCH on two cells respectively. For the one-to-two scheduling case, one bigger size DCI is used to schedule PDSCH on two cells. For the baseline legacy scheduling mechanism, DCI size (excluding CRC) is assumed to be 60 bits with all UEs assumed with legacy scheduling. DCI size of 72, 84, 96 and 108 bits are used to simulate for one-to-two scheduling with all UEs assumed with enhanced scheduling (one-to-two scheduling). As shown in Fig.1, the SCS of PCell in inter-band CA scenario is different from that in SCell due to different carrier frequencies, and it is same for intra-band CA scenario. </w:t>
      </w:r>
    </w:p>
    <w:p>
      <w:pPr>
        <w:rPr>
          <w:rFonts w:cs="Times New Roman"/>
        </w:rPr>
      </w:pPr>
      <w:r>
        <w:rPr>
          <w:rFonts w:cs="Times New Roman"/>
        </w:rPr>
        <w:object>
          <v:shape id="_x0000_i1025" o:spt="75" type="#_x0000_t75" style="height:150.65pt;width:481.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cs="Times New Roman"/>
        </w:rPr>
      </w:pPr>
      <w:r>
        <w:rPr>
          <w:rFonts w:cs="Times New Roman"/>
        </w:rPr>
        <w:t>Fig. 1 Different simulation cases</w:t>
      </w:r>
    </w:p>
    <w:p>
      <w:pPr>
        <w:rPr>
          <w:rFonts w:cs="Times New Roman"/>
        </w:rPr>
      </w:pPr>
      <w:r>
        <w:rPr>
          <w:rFonts w:cs="Times New Roman"/>
        </w:rPr>
        <w:t>For two-cell scheduling via a single DCI, that is the one-to-two scheduling case, PDCCH transmitted on a first cell schedules one PDSCH on the first cell and another PDSCH on a second cell. For single-cell scheduling (baseline), that is the legacy DCI case, one PDCCH transmitted on a first cell schedules one PDSCH on the first cell via self-scheduling and another PDCCH transmitted on the first cell schedules another PDSCH on a second cell via cross-carrier scheduling.</w:t>
      </w:r>
    </w:p>
    <w:p>
      <w:pPr>
        <w:rPr>
          <w:rFonts w:cs="Times New Roman"/>
        </w:rPr>
      </w:pPr>
      <w:r>
        <w:rPr>
          <w:rFonts w:cs="Times New Roman"/>
        </w:rPr>
        <w:t xml:space="preserve">The remaining details of simulation assumptions (Table A-1) are listed in the appendix Section 7.1. </w:t>
      </w:r>
    </w:p>
    <w:p>
      <w:pPr>
        <w:rPr>
          <w:rFonts w:cs="Times New Roman"/>
          <w:b/>
          <w:bCs/>
          <w:u w:val="single"/>
        </w:rPr>
      </w:pPr>
      <w:r>
        <w:rPr>
          <w:rFonts w:cs="Times New Roman"/>
          <w:b/>
          <w:bCs/>
          <w:u w:val="single"/>
        </w:rPr>
        <w:t>Simulation of average cell throughput</w:t>
      </w:r>
    </w:p>
    <w:p>
      <w:pPr>
        <w:rPr>
          <w:rFonts w:cs="Times New Roman"/>
        </w:rPr>
      </w:pPr>
      <w:r>
        <w:rPr>
          <w:rFonts w:cs="Times New Roman"/>
        </w:rPr>
        <w:t>The average cell throughput is evaluated via a system level simulation under different DCI overhead assumption. The detailed simulation assumptions are listed in Table A-2 in Appendix Section 7.1. Overall, three cases are simulated.</w:t>
      </w:r>
    </w:p>
    <w:p>
      <w:pPr>
        <w:ind w:left="200" w:leftChars="100"/>
        <w:rPr>
          <w:rFonts w:cs="Times New Roman"/>
        </w:rPr>
      </w:pPr>
      <w:r>
        <w:rPr>
          <w:rFonts w:cs="Times New Roman"/>
          <w:b/>
          <w:u w:val="single"/>
        </w:rPr>
        <w:t>Case A (Baseline)</w:t>
      </w:r>
      <w:r>
        <w:rPr>
          <w:rFonts w:cs="Times New Roman"/>
        </w:rPr>
        <w:t>: Legacy scheduling mechanism, each DCI schedules one PDSCH on one carrier, DCI size = 60 bits.</w:t>
      </w:r>
    </w:p>
    <w:p>
      <w:pPr>
        <w:ind w:left="200" w:leftChars="100"/>
        <w:rPr>
          <w:rFonts w:cs="Times New Roman"/>
        </w:rPr>
      </w:pPr>
      <w:r>
        <w:rPr>
          <w:rFonts w:cs="Times New Roman"/>
          <w:b/>
          <w:u w:val="single"/>
        </w:rPr>
        <w:t>Case B</w:t>
      </w:r>
      <w:r>
        <w:rPr>
          <w:rFonts w:cs="Times New Roman"/>
        </w:rPr>
        <w:t xml:space="preserve">: One DCI schedules two PDSCHs on two carriers, where most of the fields related to resource allocation are separated indicated for two carriers. </w:t>
      </w:r>
      <w:r>
        <w:rPr>
          <w:rFonts w:eastAsia="Batang" w:cs="Times New Roman"/>
        </w:rPr>
        <w:t xml:space="preserve">The DCI size is 108 bits for Case B as summarized in Table A-3 in Appendix Section 7.2. </w:t>
      </w:r>
      <w:r>
        <w:rPr>
          <w:rFonts w:cs="Times New Roman"/>
        </w:rPr>
        <w:t>This case is mainly applied for inter-band CA because the cell configuration is likely to be different in the two carriers and it is difficult to share the corresponding indication within two carriers.</w:t>
      </w:r>
    </w:p>
    <w:p>
      <w:pPr>
        <w:ind w:left="200" w:leftChars="100"/>
        <w:rPr>
          <w:rFonts w:cs="Times New Roman"/>
        </w:rPr>
      </w:pPr>
      <w:r>
        <w:rPr>
          <w:rFonts w:cs="Times New Roman"/>
          <w:b/>
          <w:u w:val="single"/>
        </w:rPr>
        <w:t>Case C</w:t>
      </w:r>
      <w:r>
        <w:rPr>
          <w:rFonts w:cs="Times New Roman"/>
        </w:rPr>
        <w:t xml:space="preserve">: One DCI schedules two PDSCHs on two carriers, where most of the fields related to resource allocation are shared between two carriers. The </w:t>
      </w:r>
      <w:r>
        <w:rPr>
          <w:rFonts w:eastAsia="Batang" w:cs="Times New Roman"/>
        </w:rPr>
        <w:t>DCI size is 84 bits for Case C as summarized in Table A-3 in Appendix Section 7.2</w:t>
      </w:r>
      <w:r>
        <w:rPr>
          <w:rFonts w:cs="Times New Roman"/>
        </w:rPr>
        <w:t>. This case is mainly applied for intra-band CA because it is possible that the configurations between the two carriers could be similar or the same.</w:t>
      </w:r>
    </w:p>
    <w:p>
      <w:pPr>
        <w:rPr>
          <w:rFonts w:cs="Times New Roman"/>
        </w:rPr>
      </w:pPr>
      <w:r>
        <w:rPr>
          <w:rFonts w:cs="Times New Roman"/>
        </w:rPr>
        <w:t>As depicted in Fig.1, PCell (DSS carrier) cross-carrier schedules SCell is assumed in our simulation. In this case, there are basically two ways to recycle the PDCCH resource for PDSCH,</w:t>
      </w:r>
    </w:p>
    <w:p>
      <w:pPr>
        <w:ind w:left="200" w:leftChars="100"/>
        <w:rPr>
          <w:rFonts w:cs="Times New Roman"/>
        </w:rPr>
      </w:pPr>
      <w:r>
        <w:rPr>
          <w:rFonts w:cs="Times New Roman"/>
        </w:rPr>
        <w:t>1. Configure a CORESET with a smaller size with PDCCH blocking rate not increased. In this case, the reduced size of CORESET leads to more resources for PDSCH, which may bring up a potential throughput gain for PDSCH. However, based on the Observation 1 and Observation 3 in section 2.2, it is impractical to configure a CORESET with a smaller sizes due to the minor gain of reduction of PDCCH blocking rate.</w:t>
      </w:r>
    </w:p>
    <w:p>
      <w:pPr>
        <w:ind w:left="200" w:leftChars="100"/>
        <w:rPr>
          <w:rFonts w:cs="Times New Roman"/>
        </w:rPr>
      </w:pPr>
      <w:r>
        <w:rPr>
          <w:rFonts w:cs="Times New Roman"/>
        </w:rPr>
        <w:t>2. The CORESET is kept as the same size. Network tries to recycle the unused PDCCH resource for PDSCH via rate matching. Currently, the granularity of rate matching for CORESET is the whole CORESET. More specially, network can only recycle this unused PDCCH resource when there is no other PDCCH scheduling in this CORESET, which is also impractical in the real network deployment.</w:t>
      </w:r>
    </w:p>
    <w:p>
      <w:pPr>
        <w:rPr>
          <w:rFonts w:cs="Times New Roman"/>
        </w:rPr>
      </w:pPr>
      <w:r>
        <w:rPr>
          <w:rFonts w:cs="Times New Roman"/>
        </w:rPr>
        <w:t>Based on the above analysis, we assume the same CORESET size for both baseline and one-to-two scheduling and no rate matching is performed. From this perspective, it is expected that the throughput of Case A and Case B may be similar.</w:t>
      </w:r>
    </w:p>
    <w:p>
      <w:pPr>
        <w:rPr>
          <w:rFonts w:cs="Times New Roman"/>
        </w:rPr>
      </w:pPr>
      <w:r>
        <w:rPr>
          <w:rFonts w:cs="Times New Roman"/>
        </w:rPr>
        <w:t>The detailed assumptions of each DCI field for Case A, Case B and Case C are summarized in Table A-3 in Appendix Section 7.2.</w:t>
      </w:r>
    </w:p>
    <w:p>
      <w:pPr>
        <w:pStyle w:val="3"/>
      </w:pPr>
      <w:r>
        <w:t>Simulation results</w:t>
      </w:r>
    </w:p>
    <w:p>
      <w:pPr>
        <w:pStyle w:val="4"/>
      </w:pPr>
      <w:r>
        <w:t>I</w:t>
      </w:r>
      <w:r>
        <w:rPr>
          <w:rFonts w:hint="eastAsia"/>
        </w:rPr>
        <w:t>nter-band CA scenario</w:t>
      </w:r>
    </w:p>
    <w:p>
      <w:pPr>
        <w:rPr>
          <w:rFonts w:cs="Times New Roman"/>
        </w:rPr>
      </w:pPr>
      <w:r>
        <w:rPr>
          <w:rFonts w:cs="Times New Roman"/>
        </w:rPr>
        <w:t>The simulation results of blocking rate are showed in Fig.2, and the simulation results of the cell throughput are showed in Fig.3.</w:t>
      </w:r>
    </w:p>
    <w:p>
      <w:pPr>
        <w:jc w:val="center"/>
        <w:rPr>
          <w:rFonts w:cs="Times New Roman"/>
        </w:rPr>
      </w:pPr>
      <w:r>
        <w:rPr>
          <w:rFonts w:cs="Times New Roman"/>
        </w:rPr>
        <w:drawing>
          <wp:inline distT="0" distB="0" distL="114300" distR="114300">
            <wp:extent cx="2974975" cy="2232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974975" cy="2232025"/>
                    </a:xfrm>
                    <a:prstGeom prst="rect">
                      <a:avLst/>
                    </a:prstGeom>
                    <a:noFill/>
                    <a:ln>
                      <a:noFill/>
                    </a:ln>
                  </pic:spPr>
                </pic:pic>
              </a:graphicData>
            </a:graphic>
          </wp:inline>
        </w:drawing>
      </w:r>
      <w:r>
        <w:rPr>
          <w:rFonts w:cs="Times New Roman"/>
        </w:rPr>
        <w:drawing>
          <wp:inline distT="0" distB="0" distL="114300" distR="114300">
            <wp:extent cx="2975610" cy="223202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2975610" cy="2232025"/>
                    </a:xfrm>
                    <a:prstGeom prst="rect">
                      <a:avLst/>
                    </a:prstGeom>
                    <a:noFill/>
                    <a:ln>
                      <a:noFill/>
                    </a:ln>
                  </pic:spPr>
                </pic:pic>
              </a:graphicData>
            </a:graphic>
          </wp:inline>
        </w:drawing>
      </w:r>
    </w:p>
    <w:p>
      <w:pPr>
        <w:numPr>
          <w:ilvl w:val="0"/>
          <w:numId w:val="9"/>
        </w:numPr>
        <w:jc w:val="center"/>
        <w:rPr>
          <w:rFonts w:cs="Times New Roman"/>
        </w:rPr>
      </w:pPr>
      <w:r>
        <w:rPr>
          <w:rFonts w:cs="Times New Roman"/>
        </w:rPr>
        <w:t>700MHz + 4GHz                     (2) 700MHz + 2GHz</w:t>
      </w:r>
    </w:p>
    <w:p>
      <w:pPr>
        <w:jc w:val="center"/>
        <w:rPr>
          <w:rFonts w:cs="Times New Roman"/>
        </w:rPr>
      </w:pPr>
      <w:r>
        <w:rPr>
          <w:rFonts w:cs="Times New Roman"/>
        </w:rPr>
        <w:t>Fig. 2 PDCCH blocking rate for inter-band CA scenario</w:t>
      </w:r>
    </w:p>
    <w:p>
      <w:pPr>
        <w:jc w:val="center"/>
        <w:rPr>
          <w:rFonts w:cs="Times New Roman"/>
        </w:rPr>
      </w:pPr>
      <w:r>
        <w:rPr>
          <w:rFonts w:cs="Times New Roman"/>
        </w:rPr>
        <w:drawing>
          <wp:inline distT="0" distB="0" distL="114300" distR="114300">
            <wp:extent cx="4617720" cy="2766060"/>
            <wp:effectExtent l="0" t="0" r="0" b="762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4617720" cy="2766060"/>
                    </a:xfrm>
                    <a:prstGeom prst="rect">
                      <a:avLst/>
                    </a:prstGeom>
                    <a:noFill/>
                    <a:ln>
                      <a:noFill/>
                    </a:ln>
                  </pic:spPr>
                </pic:pic>
              </a:graphicData>
            </a:graphic>
          </wp:inline>
        </w:drawing>
      </w:r>
      <w:r>
        <w:rPr>
          <w:rFonts w:cs="Times New Roman"/>
        </w:rPr>
        <w:br w:type="textWrapping"/>
      </w:r>
      <w:r>
        <w:rPr>
          <w:rFonts w:cs="Times New Roman"/>
        </w:rPr>
        <w:t xml:space="preserve">(1) 700MHz + 4GHz </w:t>
      </w:r>
    </w:p>
    <w:p>
      <w:pPr>
        <w:jc w:val="center"/>
        <w:rPr>
          <w:rFonts w:cs="Times New Roman"/>
        </w:rPr>
      </w:pPr>
      <w:r>
        <w:rPr>
          <w:rFonts w:cs="Times New Roman"/>
        </w:rPr>
        <w:drawing>
          <wp:inline distT="0" distB="0" distL="114300" distR="114300">
            <wp:extent cx="4617720" cy="2796540"/>
            <wp:effectExtent l="0" t="0" r="0" b="762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2"/>
                    <a:stretch>
                      <a:fillRect/>
                    </a:stretch>
                  </pic:blipFill>
                  <pic:spPr>
                    <a:xfrm>
                      <a:off x="0" y="0"/>
                      <a:ext cx="4617720" cy="2796540"/>
                    </a:xfrm>
                    <a:prstGeom prst="rect">
                      <a:avLst/>
                    </a:prstGeom>
                    <a:noFill/>
                    <a:ln>
                      <a:noFill/>
                    </a:ln>
                  </pic:spPr>
                </pic:pic>
              </a:graphicData>
            </a:graphic>
          </wp:inline>
        </w:drawing>
      </w:r>
    </w:p>
    <w:p>
      <w:pPr>
        <w:jc w:val="center"/>
        <w:rPr>
          <w:rFonts w:cs="Times New Roman"/>
        </w:rPr>
      </w:pPr>
      <w:r>
        <w:rPr>
          <w:rFonts w:cs="Times New Roman"/>
        </w:rPr>
        <w:t>(2) 700MHz + 2GHz</w:t>
      </w:r>
    </w:p>
    <w:p>
      <w:pPr>
        <w:jc w:val="center"/>
        <w:rPr>
          <w:rFonts w:cs="Times New Roman"/>
        </w:rPr>
      </w:pPr>
      <w:r>
        <w:rPr>
          <w:rFonts w:cs="Times New Roman"/>
        </w:rPr>
        <w:t>Fig.3 Cell throughput for inter-band CA scenario</w:t>
      </w:r>
    </w:p>
    <w:p>
      <w:pPr>
        <w:snapToGrid w:val="0"/>
        <w:spacing w:before="120" w:beforeLines="50" w:after="120" w:afterLines="50"/>
        <w:rPr>
          <w:rFonts w:cs="Times New Roman"/>
        </w:rPr>
      </w:pPr>
      <w:r>
        <w:rPr>
          <w:rFonts w:eastAsia="Batang" w:cs="Times New Roman"/>
        </w:rPr>
        <w:t xml:space="preserve">In </w:t>
      </w:r>
      <w:r>
        <w:rPr>
          <w:rFonts w:cs="Times New Roman"/>
        </w:rPr>
        <w:t>Case B</w:t>
      </w:r>
      <w:r>
        <w:rPr>
          <w:rFonts w:eastAsia="Batang" w:cs="Times New Roman"/>
        </w:rPr>
        <w:t xml:space="preserve">, DCI fields related to resource indication such as FDRA are independent to ensure the flexibility of PDSCH scheduling. As show in Fig.2, although the PDCCH blocking rate using one bigger DCI is lower than that using two normal DCIs, the gain becomes smaller and smaller with the increase of the DCI size. </w:t>
      </w:r>
      <w:r>
        <w:rPr>
          <w:rFonts w:cs="Times New Roman"/>
        </w:rPr>
        <w:t>For the case with 700M and 4G, the average gain of PDCCH blocking rate for DCI size 108 bits is about 0.6%</w:t>
      </w:r>
      <w:r>
        <w:rPr>
          <w:rFonts w:eastAsia="Batang" w:cs="Times New Roman"/>
        </w:rPr>
        <w:t xml:space="preserve">. Because of the increased DCI size, more than half of DCIs with 108 bits are transmitted through AL = 4/8 CCEs, which makes the average CCE is similarly as that of two DCIs with 60 bits. </w:t>
      </w:r>
      <w:r>
        <w:rPr>
          <w:rFonts w:cs="Times New Roman"/>
        </w:rPr>
        <w:t xml:space="preserve">In addition, the average gain of DCI size with 96, 84 and 72 bits is about 1.4%, 4.0% and 5.7% respectively, which are all </w:t>
      </w:r>
      <w:r>
        <w:rPr>
          <w:rFonts w:eastAsia="Batang" w:cs="Times New Roman"/>
        </w:rPr>
        <w:t>marginal</w:t>
      </w:r>
      <w:r>
        <w:rPr>
          <w:rFonts w:cs="Times New Roman"/>
        </w:rPr>
        <w:t>. For the case with 700M and 2G, the average gain of DCI size with 72, 84, 96 and 108 bits is about 11.1%, 9.3%, 6.1% and 4.8% respectively.</w:t>
      </w:r>
    </w:p>
    <w:p>
      <w:pPr>
        <w:snapToGrid w:val="0"/>
        <w:spacing w:before="120" w:beforeLines="50" w:after="120" w:afterLines="50"/>
        <w:rPr>
          <w:rFonts w:cs="Times New Roman"/>
          <w:i/>
        </w:rPr>
      </w:pPr>
      <w:r>
        <w:rPr>
          <w:rFonts w:cs="Times New Roman"/>
          <w:b/>
          <w:i/>
        </w:rPr>
        <w:t>Observation 1</w:t>
      </w:r>
      <w:r>
        <w:rPr>
          <w:rFonts w:cs="Times New Roman"/>
          <w:i/>
        </w:rPr>
        <w:t xml:space="preserve">: For inter-band CA case, </w:t>
      </w:r>
    </w:p>
    <w:p>
      <w:pPr>
        <w:pStyle w:val="114"/>
        <w:numPr>
          <w:ilvl w:val="0"/>
          <w:numId w:val="10"/>
        </w:numPr>
        <w:snapToGrid w:val="0"/>
        <w:spacing w:before="120" w:beforeLines="50" w:afterLines="50"/>
        <w:rPr>
          <w:rFonts w:cs="Times New Roman"/>
          <w:i/>
        </w:rPr>
      </w:pPr>
      <w:r>
        <w:rPr>
          <w:rFonts w:cs="Times New Roman"/>
          <w:i/>
        </w:rPr>
        <w:t xml:space="preserve">In case </w:t>
      </w:r>
      <w:r>
        <w:rPr>
          <w:rFonts w:cs="Times New Roman" w:eastAsiaTheme="minorEastAsia"/>
          <w:i/>
          <w:lang w:val="en-US"/>
        </w:rPr>
        <w:t>of</w:t>
      </w:r>
      <w:r>
        <w:rPr>
          <w:rFonts w:cs="Times New Roman"/>
          <w:i/>
          <w:lang w:val="en-US"/>
        </w:rPr>
        <w:t xml:space="preserve"> 700M and 4G,</w:t>
      </w:r>
      <w:r>
        <w:rPr>
          <w:rFonts w:cs="Times New Roman"/>
          <w:i/>
        </w:rPr>
        <w:t xml:space="preserve"> the average gain of PDCCH blocking rate for DCI size 72 bits, 84 bits 96 bits and 108 bits of the one-to-two scheduling DCI is about 5.7%, 4.0%, 1.4% and 0.6%, respectively. </w:t>
      </w:r>
    </w:p>
    <w:p>
      <w:pPr>
        <w:pStyle w:val="114"/>
        <w:numPr>
          <w:ilvl w:val="0"/>
          <w:numId w:val="10"/>
        </w:numPr>
        <w:snapToGrid w:val="0"/>
        <w:spacing w:before="120" w:beforeLines="50" w:afterLines="50"/>
        <w:rPr>
          <w:rFonts w:cs="Times New Roman"/>
          <w:i/>
        </w:rPr>
      </w:pPr>
      <w:r>
        <w:rPr>
          <w:rFonts w:cs="Times New Roman"/>
          <w:i/>
        </w:rPr>
        <w:t xml:space="preserve">In case </w:t>
      </w:r>
      <w:r>
        <w:rPr>
          <w:rFonts w:cs="Times New Roman"/>
          <w:i/>
          <w:lang w:val="en-US"/>
        </w:rPr>
        <w:t>of 700M and 2G,</w:t>
      </w:r>
      <w:r>
        <w:rPr>
          <w:rFonts w:cs="Times New Roman"/>
          <w:i/>
        </w:rPr>
        <w:t xml:space="preserve"> the average gain of PDCCH blocking rate for DCI size 72 bits, 84 bits 96 bits and 108 bits of the one-to-two scheduling DCI is about </w:t>
      </w:r>
      <w:r>
        <w:rPr>
          <w:rFonts w:cs="Times New Roman"/>
          <w:i/>
          <w:lang w:val="en-US"/>
        </w:rPr>
        <w:t>11</w:t>
      </w:r>
      <w:r>
        <w:rPr>
          <w:rFonts w:cs="Times New Roman"/>
          <w:i/>
        </w:rPr>
        <w:t>.</w:t>
      </w:r>
      <w:r>
        <w:rPr>
          <w:rFonts w:cs="Times New Roman"/>
          <w:i/>
          <w:lang w:val="en-US"/>
        </w:rPr>
        <w:t>1</w:t>
      </w:r>
      <w:r>
        <w:rPr>
          <w:rFonts w:cs="Times New Roman"/>
          <w:i/>
        </w:rPr>
        <w:t xml:space="preserve">%, </w:t>
      </w:r>
      <w:r>
        <w:rPr>
          <w:rFonts w:cs="Times New Roman"/>
          <w:i/>
          <w:lang w:val="en-US"/>
        </w:rPr>
        <w:t>9</w:t>
      </w:r>
      <w:r>
        <w:rPr>
          <w:rFonts w:cs="Times New Roman"/>
          <w:i/>
        </w:rPr>
        <w:t>.</w:t>
      </w:r>
      <w:r>
        <w:rPr>
          <w:rFonts w:cs="Times New Roman"/>
          <w:i/>
          <w:lang w:val="en-US"/>
        </w:rPr>
        <w:t>3</w:t>
      </w:r>
      <w:r>
        <w:rPr>
          <w:rFonts w:cs="Times New Roman"/>
          <w:i/>
        </w:rPr>
        <w:t xml:space="preserve">%, </w:t>
      </w:r>
      <w:r>
        <w:rPr>
          <w:rFonts w:cs="Times New Roman"/>
          <w:i/>
          <w:lang w:val="en-US"/>
        </w:rPr>
        <w:t>6</w:t>
      </w:r>
      <w:r>
        <w:rPr>
          <w:rFonts w:cs="Times New Roman"/>
          <w:i/>
        </w:rPr>
        <w:t>.</w:t>
      </w:r>
      <w:r>
        <w:rPr>
          <w:rFonts w:cs="Times New Roman"/>
          <w:i/>
          <w:lang w:val="en-US"/>
        </w:rPr>
        <w:t>1</w:t>
      </w:r>
      <w:r>
        <w:rPr>
          <w:rFonts w:cs="Times New Roman"/>
          <w:i/>
        </w:rPr>
        <w:t xml:space="preserve">% and </w:t>
      </w:r>
      <w:r>
        <w:rPr>
          <w:rFonts w:cs="Times New Roman"/>
          <w:i/>
          <w:lang w:val="en-US"/>
        </w:rPr>
        <w:t>4</w:t>
      </w:r>
      <w:r>
        <w:rPr>
          <w:rFonts w:cs="Times New Roman"/>
          <w:i/>
        </w:rPr>
        <w:t>.</w:t>
      </w:r>
      <w:r>
        <w:rPr>
          <w:rFonts w:cs="Times New Roman"/>
          <w:i/>
          <w:lang w:val="en-US"/>
        </w:rPr>
        <w:t>8</w:t>
      </w:r>
      <w:r>
        <w:rPr>
          <w:rFonts w:cs="Times New Roman"/>
          <w:i/>
        </w:rPr>
        <w:t xml:space="preserve">%, respectively. </w:t>
      </w:r>
    </w:p>
    <w:p>
      <w:pPr>
        <w:numPr>
          <w:ilvl w:val="255"/>
          <w:numId w:val="0"/>
        </w:numPr>
        <w:snapToGrid w:val="0"/>
        <w:spacing w:before="120" w:beforeLines="50" w:after="120" w:afterLines="50"/>
        <w:rPr>
          <w:rFonts w:cs="Times New Roman"/>
          <w:i/>
        </w:rPr>
      </w:pPr>
    </w:p>
    <w:p>
      <w:pPr>
        <w:snapToGrid w:val="0"/>
        <w:spacing w:before="120" w:beforeLines="50" w:after="120" w:afterLines="50"/>
        <w:rPr>
          <w:rFonts w:cs="Times New Roman"/>
        </w:rPr>
      </w:pPr>
      <w:r>
        <w:rPr>
          <w:rFonts w:eastAsia="Batang" w:cs="Times New Roman"/>
        </w:rPr>
        <w:t>For SCell throughput in the case with 700M and 4G, case C has a 19.4% loss compared with case A or Case B</w:t>
      </w:r>
      <w:r>
        <w:rPr>
          <w:rFonts w:cs="Times New Roman"/>
        </w:rPr>
        <w:t xml:space="preserve">, and the loss of case C for the average cell </w:t>
      </w:r>
      <w:r>
        <w:rPr>
          <w:rFonts w:eastAsia="Batang" w:cs="Times New Roman"/>
        </w:rPr>
        <w:t>throughput is 13.4% as</w:t>
      </w:r>
      <w:r>
        <w:rPr>
          <w:rFonts w:cs="Times New Roman"/>
        </w:rPr>
        <w:t xml:space="preserve"> shown in Fig.3(1). The loss of case C for the average cell throughput </w:t>
      </w:r>
      <w:r>
        <w:rPr>
          <w:rFonts w:eastAsia="Batang" w:cs="Times New Roman"/>
        </w:rPr>
        <w:t xml:space="preserve">in the case with 700M and 2G </w:t>
      </w:r>
      <w:r>
        <w:rPr>
          <w:rFonts w:cs="Times New Roman"/>
        </w:rPr>
        <w:t xml:space="preserve">is also up to 9.9% </w:t>
      </w:r>
      <w:r>
        <w:rPr>
          <w:rFonts w:eastAsia="Batang" w:cs="Times New Roman"/>
        </w:rPr>
        <w:t>as</w:t>
      </w:r>
      <w:r>
        <w:rPr>
          <w:rFonts w:cs="Times New Roman"/>
        </w:rPr>
        <w:t xml:space="preserve"> shown in Fig.3(2). The main reason for Case C performance loss is that DCI fields related to resource indication is shared, so at least one cell will be restricted for PDSCH scheduling. In this simulation, it is assumed that the scheduling information of SCell reuses that of PCell. Thus, compared with the baseline, the PCell’s throughput will not change significantly, but the inaccurate scheduling information for SCell will cause SCell throughput performance loss. </w:t>
      </w:r>
    </w:p>
    <w:p>
      <w:pPr>
        <w:snapToGrid w:val="0"/>
        <w:spacing w:before="120" w:beforeLines="50" w:after="120" w:afterLines="50"/>
        <w:rPr>
          <w:rFonts w:cs="Times New Roman"/>
        </w:rPr>
      </w:pPr>
      <w:r>
        <w:rPr>
          <w:rFonts w:cs="Times New Roman"/>
        </w:rPr>
        <w:t>Above all, the gain of PDCCH blocking rate has a minor reduction, and the average cell throughput will decrease.</w:t>
      </w:r>
    </w:p>
    <w:p>
      <w:pPr>
        <w:snapToGrid w:val="0"/>
        <w:spacing w:before="120" w:beforeLines="50" w:after="120" w:afterLines="50"/>
        <w:rPr>
          <w:rFonts w:cs="Times New Roman"/>
          <w:i/>
        </w:rPr>
      </w:pPr>
      <w:r>
        <w:rPr>
          <w:rFonts w:cs="Times New Roman"/>
          <w:b/>
          <w:i/>
        </w:rPr>
        <w:t>Observation 2</w:t>
      </w:r>
      <w:r>
        <w:rPr>
          <w:rFonts w:cs="Times New Roman"/>
          <w:i/>
        </w:rPr>
        <w:t xml:space="preserve">: </w:t>
      </w:r>
    </w:p>
    <w:p>
      <w:pPr>
        <w:snapToGrid w:val="0"/>
        <w:spacing w:before="120" w:beforeLines="50" w:after="120" w:afterLines="50"/>
        <w:rPr>
          <w:rFonts w:cs="Times New Roman"/>
          <w:i/>
        </w:rPr>
      </w:pPr>
      <w:r>
        <w:rPr>
          <w:rFonts w:cs="Times New Roman"/>
          <w:i/>
        </w:rPr>
        <w:t>For inter-band (700MHz + 4GHz) CA case,</w:t>
      </w:r>
    </w:p>
    <w:p>
      <w:pPr>
        <w:pStyle w:val="114"/>
        <w:numPr>
          <w:ilvl w:val="0"/>
          <w:numId w:val="10"/>
        </w:numPr>
        <w:snapToGrid w:val="0"/>
        <w:spacing w:before="120" w:beforeLines="50" w:afterLines="50"/>
        <w:rPr>
          <w:rFonts w:cs="Times New Roman"/>
          <w:i/>
        </w:rPr>
      </w:pPr>
      <w:r>
        <w:rPr>
          <w:rFonts w:cs="Times New Roman"/>
          <w:i/>
        </w:rPr>
        <w:t>In case of 108</w:t>
      </w:r>
      <w:r>
        <w:rPr>
          <w:rFonts w:cs="Times New Roman"/>
          <w:i/>
          <w:lang w:val="en-US"/>
        </w:rPr>
        <w:t xml:space="preserve"> </w:t>
      </w:r>
      <w:r>
        <w:rPr>
          <w:rFonts w:cs="Times New Roman"/>
          <w:i/>
        </w:rPr>
        <w:t xml:space="preserve">bits of one-to-two scheduling DCI, the throughput is similar as the baseline. </w:t>
      </w:r>
    </w:p>
    <w:p>
      <w:pPr>
        <w:pStyle w:val="114"/>
        <w:numPr>
          <w:ilvl w:val="0"/>
          <w:numId w:val="10"/>
        </w:numPr>
        <w:snapToGrid w:val="0"/>
        <w:spacing w:before="120" w:beforeLines="50" w:afterLines="50"/>
        <w:rPr>
          <w:rFonts w:cs="Times New Roman"/>
          <w:i/>
        </w:rPr>
      </w:pPr>
      <w:r>
        <w:rPr>
          <w:rFonts w:cs="Times New Roman"/>
          <w:i/>
        </w:rPr>
        <w:t>In case of 84</w:t>
      </w:r>
      <w:r>
        <w:rPr>
          <w:rFonts w:cs="Times New Roman"/>
          <w:i/>
          <w:lang w:val="en-US"/>
        </w:rPr>
        <w:t xml:space="preserve"> </w:t>
      </w:r>
      <w:r>
        <w:rPr>
          <w:rFonts w:cs="Times New Roman"/>
          <w:i/>
        </w:rPr>
        <w:t xml:space="preserve">bits of one-to-two scheduling DCI, the throughput is reduced by </w:t>
      </w:r>
      <w:r>
        <w:rPr>
          <w:rFonts w:cs="Times New Roman"/>
          <w:i/>
          <w:lang w:val="en-US"/>
        </w:rPr>
        <w:t>13.4</w:t>
      </w:r>
      <w:r>
        <w:rPr>
          <w:rFonts w:cs="Times New Roman"/>
          <w:i/>
        </w:rPr>
        <w:t>% compared with the baseline.</w:t>
      </w:r>
    </w:p>
    <w:p>
      <w:pPr>
        <w:snapToGrid w:val="0"/>
        <w:spacing w:before="120" w:beforeLines="50" w:after="120" w:afterLines="50"/>
        <w:rPr>
          <w:rFonts w:cs="Times New Roman"/>
          <w:i/>
        </w:rPr>
      </w:pPr>
      <w:r>
        <w:rPr>
          <w:rFonts w:cs="Times New Roman"/>
          <w:i/>
        </w:rPr>
        <w:t>For inter-band (700MHz + 2GHz) CA case,</w:t>
      </w:r>
    </w:p>
    <w:p>
      <w:pPr>
        <w:pStyle w:val="114"/>
        <w:numPr>
          <w:ilvl w:val="0"/>
          <w:numId w:val="10"/>
        </w:numPr>
        <w:snapToGrid w:val="0"/>
        <w:spacing w:before="120" w:beforeLines="50" w:afterLines="50"/>
        <w:rPr>
          <w:rFonts w:cs="Times New Roman"/>
          <w:i/>
        </w:rPr>
      </w:pPr>
      <w:r>
        <w:rPr>
          <w:rFonts w:cs="Times New Roman"/>
          <w:i/>
        </w:rPr>
        <w:t>In case of 108</w:t>
      </w:r>
      <w:r>
        <w:rPr>
          <w:rFonts w:cs="Times New Roman"/>
          <w:i/>
          <w:lang w:val="en-US"/>
        </w:rPr>
        <w:t xml:space="preserve"> </w:t>
      </w:r>
      <w:r>
        <w:rPr>
          <w:rFonts w:cs="Times New Roman"/>
          <w:i/>
        </w:rPr>
        <w:t xml:space="preserve">bits of one-to-two scheduling DCI, the throughput is similar as the baseline. </w:t>
      </w:r>
    </w:p>
    <w:p>
      <w:pPr>
        <w:pStyle w:val="114"/>
        <w:numPr>
          <w:ilvl w:val="0"/>
          <w:numId w:val="10"/>
        </w:numPr>
        <w:snapToGrid w:val="0"/>
        <w:spacing w:before="120" w:beforeLines="50" w:afterLines="50"/>
        <w:rPr>
          <w:rFonts w:cs="Times New Roman"/>
          <w:i/>
        </w:rPr>
      </w:pPr>
      <w:r>
        <w:rPr>
          <w:rFonts w:cs="Times New Roman"/>
          <w:i/>
        </w:rPr>
        <w:t>In case of 84</w:t>
      </w:r>
      <w:r>
        <w:rPr>
          <w:rFonts w:cs="Times New Roman"/>
          <w:i/>
          <w:lang w:val="en-US"/>
        </w:rPr>
        <w:t xml:space="preserve"> </w:t>
      </w:r>
      <w:r>
        <w:rPr>
          <w:rFonts w:cs="Times New Roman"/>
          <w:i/>
        </w:rPr>
        <w:t xml:space="preserve">bits of one-to-two scheduling DCI, the throughput is reduced by </w:t>
      </w:r>
      <w:r>
        <w:rPr>
          <w:rFonts w:cs="Times New Roman"/>
          <w:i/>
          <w:lang w:val="en-US"/>
        </w:rPr>
        <w:t>9.9</w:t>
      </w:r>
      <w:r>
        <w:rPr>
          <w:rFonts w:cs="Times New Roman"/>
          <w:i/>
        </w:rPr>
        <w:t>% compared with the baseline.</w:t>
      </w:r>
    </w:p>
    <w:p>
      <w:pPr>
        <w:snapToGrid w:val="0"/>
        <w:spacing w:before="120" w:beforeLines="50" w:after="120" w:afterLines="50"/>
        <w:rPr>
          <w:rFonts w:eastAsia="Batang"/>
        </w:rPr>
      </w:pPr>
    </w:p>
    <w:p>
      <w:pPr>
        <w:pStyle w:val="4"/>
      </w:pPr>
      <w:r>
        <w:t>I</w:t>
      </w:r>
      <w:r>
        <w:rPr>
          <w:rFonts w:hint="eastAsia"/>
        </w:rPr>
        <w:t>ntra-band CA scenario (2GHz)</w:t>
      </w:r>
    </w:p>
    <w:p>
      <w:pPr>
        <w:rPr>
          <w:rFonts w:cs="Times New Roman"/>
        </w:rPr>
      </w:pPr>
      <w:r>
        <w:rPr>
          <w:rFonts w:cs="Times New Roman"/>
        </w:rPr>
        <w:t>The simulation results of blocking rate for intra-band CA scenario are showed in Fig.4 and the simulation results of the cell throughput are showed in Fig.5.</w:t>
      </w:r>
    </w:p>
    <w:p>
      <w:pPr>
        <w:jc w:val="center"/>
        <w:rPr>
          <w:rFonts w:cs="Times New Roman"/>
        </w:rPr>
      </w:pPr>
      <w:r>
        <w:rPr>
          <w:rFonts w:cs="Times New Roman"/>
        </w:rPr>
        <w:drawing>
          <wp:inline distT="0" distB="0" distL="114300" distR="114300">
            <wp:extent cx="3839845" cy="287972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3839845" cy="2879725"/>
                    </a:xfrm>
                    <a:prstGeom prst="rect">
                      <a:avLst/>
                    </a:prstGeom>
                    <a:noFill/>
                    <a:ln>
                      <a:noFill/>
                    </a:ln>
                  </pic:spPr>
                </pic:pic>
              </a:graphicData>
            </a:graphic>
          </wp:inline>
        </w:drawing>
      </w:r>
    </w:p>
    <w:p>
      <w:pPr>
        <w:jc w:val="center"/>
        <w:rPr>
          <w:rFonts w:cs="Times New Roman"/>
        </w:rPr>
      </w:pPr>
      <w:r>
        <w:rPr>
          <w:rFonts w:cs="Times New Roman"/>
        </w:rPr>
        <w:t>Fig.4 PDCCH blocking rate for intra-band CA scenario</w:t>
      </w:r>
    </w:p>
    <w:p>
      <w:pPr>
        <w:jc w:val="center"/>
        <w:rPr>
          <w:rFonts w:cs="Times New Roman"/>
        </w:rPr>
      </w:pPr>
      <w:r>
        <w:rPr>
          <w:rFonts w:cs="Times New Roman"/>
        </w:rPr>
        <w:drawing>
          <wp:inline distT="0" distB="0" distL="114300" distR="114300">
            <wp:extent cx="4617720" cy="2796540"/>
            <wp:effectExtent l="0" t="0" r="0" b="762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4"/>
                    <a:stretch>
                      <a:fillRect/>
                    </a:stretch>
                  </pic:blipFill>
                  <pic:spPr>
                    <a:xfrm>
                      <a:off x="0" y="0"/>
                      <a:ext cx="4617720" cy="2796540"/>
                    </a:xfrm>
                    <a:prstGeom prst="rect">
                      <a:avLst/>
                    </a:prstGeom>
                    <a:noFill/>
                    <a:ln>
                      <a:noFill/>
                    </a:ln>
                  </pic:spPr>
                </pic:pic>
              </a:graphicData>
            </a:graphic>
          </wp:inline>
        </w:drawing>
      </w:r>
    </w:p>
    <w:p>
      <w:pPr>
        <w:jc w:val="center"/>
        <w:rPr>
          <w:rFonts w:cs="Times New Roman"/>
        </w:rPr>
      </w:pPr>
      <w:r>
        <w:rPr>
          <w:rFonts w:cs="Times New Roman"/>
        </w:rPr>
        <w:t>Fig.5 Cell throughput for intra-band CA scenario</w:t>
      </w:r>
    </w:p>
    <w:p>
      <w:pPr>
        <w:snapToGrid w:val="0"/>
        <w:spacing w:before="120" w:beforeLines="50" w:after="120" w:afterLines="50"/>
        <w:rPr>
          <w:rFonts w:cs="Times New Roman"/>
        </w:rPr>
      </w:pPr>
      <w:r>
        <w:rPr>
          <w:rFonts w:eastAsia="Batang" w:cs="Times New Roman"/>
        </w:rPr>
        <w:t xml:space="preserve">The throughput of Case B is same as that of Case A because most of the DCI fields are separated indicated for two carriers. However, the average gain of PDCCH blocking rate is less than 5% if the size of the DCI in case B is </w:t>
      </w:r>
      <w:r>
        <w:rPr>
          <w:rFonts w:cs="Times New Roman"/>
        </w:rPr>
        <w:t>set to</w:t>
      </w:r>
      <w:r>
        <w:rPr>
          <w:rFonts w:eastAsia="Batang" w:cs="Times New Roman"/>
        </w:rPr>
        <w:t xml:space="preserve"> 108 bits as shown in Fig.4. For Case A, some DCIs are transmitted through AL = 1 CCE because of the smaller DCI size. When the DCI size is </w:t>
      </w:r>
      <w:r>
        <w:rPr>
          <w:rFonts w:cs="Times New Roman"/>
        </w:rPr>
        <w:t>set to</w:t>
      </w:r>
      <w:r>
        <w:rPr>
          <w:rFonts w:eastAsia="Batang" w:cs="Times New Roman"/>
        </w:rPr>
        <w:t xml:space="preserve"> 108 bits, DCI can only be transmitted through AL &gt;= 2 CCEs because the max available payload of AL = 1 CCE is exceeded, which will lead to a significant increase in CCE utilization rate of case B, and further has negative impact on the PDCCH blocking rate. </w:t>
      </w:r>
      <w:r>
        <w:rPr>
          <w:rFonts w:cs="Times New Roman"/>
        </w:rPr>
        <w:t>In addition, if the DCI size is set to 96, 84 and 72 bits, the average gain is about 5.6%, 7.5% and 9.5% respectively.</w:t>
      </w:r>
    </w:p>
    <w:p>
      <w:pPr>
        <w:snapToGrid w:val="0"/>
        <w:spacing w:before="120" w:beforeLines="50" w:after="120" w:afterLines="50"/>
        <w:rPr>
          <w:rFonts w:cs="Times New Roman"/>
          <w:i/>
        </w:rPr>
      </w:pPr>
      <w:r>
        <w:rPr>
          <w:rFonts w:cs="Times New Roman"/>
          <w:b/>
          <w:i/>
        </w:rPr>
        <w:t>Observation 3</w:t>
      </w:r>
      <w:r>
        <w:rPr>
          <w:rFonts w:cs="Times New Roman"/>
          <w:i/>
        </w:rPr>
        <w:t>: For intra-band (2GHz) CA case, the average gain of PDCCH blocking rate for DCI size 72 bits, 84 bits, 96 bits and 108 bits of the one-to-two scheduling DCI is about 9.5%, 7.5%, 5.6% and 4.6%, respectively.</w:t>
      </w:r>
    </w:p>
    <w:p>
      <w:pPr>
        <w:snapToGrid w:val="0"/>
        <w:spacing w:before="120" w:beforeLines="50" w:after="120" w:afterLines="50"/>
        <w:rPr>
          <w:rFonts w:eastAsia="Batang" w:cs="Times New Roman"/>
        </w:rPr>
      </w:pPr>
    </w:p>
    <w:p>
      <w:pPr>
        <w:snapToGrid w:val="0"/>
        <w:spacing w:before="120" w:beforeLines="50" w:after="120" w:afterLines="50"/>
        <w:rPr>
          <w:rFonts w:eastAsia="Batang" w:cs="Times New Roman"/>
        </w:rPr>
      </w:pPr>
      <w:r>
        <w:rPr>
          <w:rFonts w:eastAsia="Batang" w:cs="Times New Roman"/>
        </w:rPr>
        <w:t>For Case C, although there is some</w:t>
      </w:r>
      <w:r>
        <w:rPr>
          <w:rFonts w:cs="Times New Roman"/>
        </w:rPr>
        <w:t xml:space="preserve"> gain of PDCCH blocking rate </w:t>
      </w:r>
      <w:r>
        <w:rPr>
          <w:rFonts w:eastAsia="Batang" w:cs="Times New Roman"/>
        </w:rPr>
        <w:t xml:space="preserve">when the DCI size is </w:t>
      </w:r>
      <w:r>
        <w:rPr>
          <w:rFonts w:cs="Times New Roman"/>
        </w:rPr>
        <w:t>set to</w:t>
      </w:r>
      <w:r>
        <w:rPr>
          <w:rFonts w:eastAsia="Batang" w:cs="Times New Roman"/>
        </w:rPr>
        <w:t xml:space="preserve"> 84 bits, the SCell throughput and the average cell throughput will decrease because PDSCH scheduling is limited. As show in Fig.5, case C has a loss of 16.3% and 8.7% respectively compared with case A in terms of the SCell throughput and the </w:t>
      </w:r>
      <w:r>
        <w:rPr>
          <w:rFonts w:cs="Times New Roman"/>
        </w:rPr>
        <w:t>average cell throughput. The performance loss is mainly due to the inappropriate scheduling parameters that have to be shared between the two carriers. In this simulation, it is assumed that the scheduling information of SCell reuses that of PCell. Thus, compared with the baseline, the PCell’s throughput will not change significantly, but the inaccurate scheduling information for SCell will cause great SCell throughput performance loss.</w:t>
      </w:r>
    </w:p>
    <w:p>
      <w:pPr>
        <w:snapToGrid w:val="0"/>
        <w:spacing w:after="120" w:afterLines="50"/>
        <w:rPr>
          <w:rFonts w:eastAsia="Batang" w:cs="Times New Roman"/>
        </w:rPr>
      </w:pPr>
      <w:r>
        <w:rPr>
          <w:rFonts w:eastAsia="Batang" w:cs="Times New Roman"/>
        </w:rPr>
        <w:t xml:space="preserve">Based on the analysis above, we have the following observation. </w:t>
      </w:r>
    </w:p>
    <w:p>
      <w:pPr>
        <w:snapToGrid w:val="0"/>
        <w:spacing w:after="120" w:afterLines="50"/>
        <w:rPr>
          <w:rFonts w:cs="Times New Roman"/>
        </w:rPr>
      </w:pPr>
    </w:p>
    <w:p>
      <w:pPr>
        <w:snapToGrid w:val="0"/>
        <w:spacing w:before="120" w:beforeLines="50" w:after="120" w:afterLines="50"/>
        <w:rPr>
          <w:rFonts w:cs="Times New Roman"/>
          <w:i/>
        </w:rPr>
      </w:pPr>
      <w:r>
        <w:rPr>
          <w:rFonts w:cs="Times New Roman"/>
          <w:b/>
          <w:i/>
        </w:rPr>
        <w:t>Observation 4</w:t>
      </w:r>
      <w:r>
        <w:rPr>
          <w:rFonts w:cs="Times New Roman"/>
          <w:i/>
        </w:rPr>
        <w:t>: For intra-band (2GHz) CA case,</w:t>
      </w:r>
    </w:p>
    <w:p>
      <w:pPr>
        <w:pStyle w:val="114"/>
        <w:numPr>
          <w:ilvl w:val="0"/>
          <w:numId w:val="10"/>
        </w:numPr>
        <w:snapToGrid w:val="0"/>
        <w:spacing w:before="120" w:beforeLines="50" w:afterLines="50"/>
        <w:rPr>
          <w:rFonts w:cs="Times New Roman"/>
          <w:i/>
        </w:rPr>
      </w:pPr>
      <w:r>
        <w:rPr>
          <w:rFonts w:cs="Times New Roman"/>
          <w:i/>
        </w:rPr>
        <w:t>In case of 108</w:t>
      </w:r>
      <w:r>
        <w:rPr>
          <w:rFonts w:cs="Times New Roman"/>
          <w:i/>
          <w:lang w:val="en-US"/>
        </w:rPr>
        <w:t xml:space="preserve"> </w:t>
      </w:r>
      <w:r>
        <w:rPr>
          <w:rFonts w:cs="Times New Roman"/>
          <w:i/>
        </w:rPr>
        <w:t xml:space="preserve">bits of one-to-two scheduling DCI, the throughput is similar as the baseline. </w:t>
      </w:r>
    </w:p>
    <w:p>
      <w:pPr>
        <w:pStyle w:val="114"/>
        <w:numPr>
          <w:ilvl w:val="0"/>
          <w:numId w:val="10"/>
        </w:numPr>
        <w:snapToGrid w:val="0"/>
        <w:spacing w:before="120" w:beforeLines="50" w:afterLines="50"/>
        <w:rPr>
          <w:rFonts w:cs="Times New Roman"/>
          <w:i/>
        </w:rPr>
      </w:pPr>
      <w:r>
        <w:rPr>
          <w:rFonts w:cs="Times New Roman"/>
          <w:i/>
        </w:rPr>
        <w:t>In case of 84</w:t>
      </w:r>
      <w:r>
        <w:rPr>
          <w:rFonts w:cs="Times New Roman"/>
          <w:i/>
          <w:lang w:val="en-US"/>
        </w:rPr>
        <w:t xml:space="preserve"> </w:t>
      </w:r>
      <w:r>
        <w:rPr>
          <w:rFonts w:cs="Times New Roman"/>
          <w:i/>
        </w:rPr>
        <w:t xml:space="preserve">bits of one-to-two scheduling DCI, the throughput is reduced by </w:t>
      </w:r>
      <w:r>
        <w:rPr>
          <w:rFonts w:cs="Times New Roman"/>
          <w:i/>
          <w:lang w:val="en-US"/>
        </w:rPr>
        <w:t>8.7</w:t>
      </w:r>
      <w:r>
        <w:rPr>
          <w:rFonts w:cs="Times New Roman"/>
          <w:i/>
        </w:rPr>
        <w:t>% compared with the baseline.</w:t>
      </w:r>
    </w:p>
    <w:p>
      <w:pPr>
        <w:snapToGrid w:val="0"/>
        <w:spacing w:after="120" w:afterLines="50"/>
      </w:pPr>
    </w:p>
    <w:p>
      <w:pPr>
        <w:pStyle w:val="2"/>
      </w:pPr>
      <w:r>
        <w:rPr>
          <w:rFonts w:hint="eastAsia"/>
        </w:rPr>
        <w:t xml:space="preserve">Analysis and Simulation for </w:t>
      </w:r>
      <w:r>
        <w:rPr>
          <w:lang w:val="en-US"/>
        </w:rPr>
        <w:t xml:space="preserve">Multi-cell Scheduling </w:t>
      </w:r>
      <w:r>
        <w:t>for both Uplink and Downlink</w:t>
      </w:r>
    </w:p>
    <w:p>
      <w:pPr>
        <w:rPr>
          <w:rFonts w:cs="Times New Roman"/>
        </w:rPr>
      </w:pPr>
      <w:r>
        <w:rPr>
          <w:rFonts w:cs="Times New Roman"/>
        </w:rPr>
        <w:t>During RAN</w:t>
      </w:r>
      <w:r>
        <w:rPr>
          <w:rFonts w:hint="eastAsia" w:eastAsia="宋体" w:cs="Times New Roman"/>
          <w:lang w:val="en-US" w:eastAsia="zh-CN"/>
        </w:rPr>
        <w:t xml:space="preserve"> </w:t>
      </w:r>
      <w:r>
        <w:rPr>
          <w:rFonts w:cs="Times New Roman"/>
        </w:rPr>
        <w:t>#91-e meeting, companies raised the concern that it may lead to implementation fragmentation if we only specify one-to-two downlink scheduling in Rel-17. Companies mentioned the following two potential way forward to increase the performance gain for multi-cell scheduling considering the current gain provided by companies is limited.</w:t>
      </w:r>
    </w:p>
    <w:p>
      <w:pPr>
        <w:ind w:left="200" w:leftChars="100"/>
        <w:rPr>
          <w:rFonts w:cs="Times New Roman"/>
        </w:rPr>
      </w:pPr>
      <w:r>
        <w:rPr>
          <w:rFonts w:cs="Times New Roman"/>
        </w:rPr>
        <w:t>1. Multi-cell scheduling for uplink</w:t>
      </w:r>
    </w:p>
    <w:p>
      <w:pPr>
        <w:ind w:left="200" w:leftChars="100"/>
        <w:rPr>
          <w:rFonts w:cs="Times New Roman"/>
        </w:rPr>
      </w:pPr>
      <w:r>
        <w:rPr>
          <w:rFonts w:cs="Times New Roman"/>
        </w:rPr>
        <w:t>2. One DCI scheduling PDSCH/PUSCH for more than 2 cells</w:t>
      </w:r>
    </w:p>
    <w:p>
      <w:pPr>
        <w:pStyle w:val="3"/>
      </w:pPr>
      <w:r>
        <w:rPr>
          <w:lang w:val="en-US"/>
        </w:rPr>
        <w:t>Multi-cell scheduling for uplink</w:t>
      </w:r>
    </w:p>
    <w:p>
      <w:pPr>
        <w:rPr>
          <w:rFonts w:cs="Times New Roman"/>
        </w:rPr>
      </w:pPr>
      <w:r>
        <w:rPr>
          <w:rFonts w:cs="Times New Roman"/>
        </w:rPr>
        <w:t xml:space="preserve">In actual </w:t>
      </w:r>
      <w:r>
        <w:rPr>
          <w:rFonts w:hint="eastAsia" w:eastAsia="宋体" w:cs="Times New Roman"/>
          <w:lang w:val="en-US" w:eastAsia="zh-CN"/>
        </w:rPr>
        <w:t>network</w:t>
      </w:r>
      <w:r>
        <w:rPr>
          <w:rFonts w:cs="Times New Roman"/>
        </w:rPr>
        <w:t xml:space="preserve">, uplink transmission takes the leading position in some scenarios. For example, in remote driving and factory automation, sensor data needs to be transmitted on the uplink, when only control signaling messages need to be transmitted on the downlink. Therefore, the uplink throughput is far greater than the downlink throughput in these scenarios. As mentioned in section 2.2, one-to-two scheduling brings some blocking rate gain for downlink transmission, although the gain is not substantial. Similar to downlink transmission, the performance of uplink transmission can be increased through the introduction of the one-to-two uplink scheduling. It is straightforward that the potential PDCCH blocking rate gain for one-to-two uplink scheduling is the same as </w:t>
      </w:r>
      <w:r>
        <w:rPr>
          <w:rFonts w:hint="eastAsia" w:eastAsia="宋体" w:cs="Times New Roman"/>
          <w:lang w:val="en-US" w:eastAsia="zh-CN"/>
        </w:rPr>
        <w:t xml:space="preserve">that for </w:t>
      </w:r>
      <w:r>
        <w:rPr>
          <w:rFonts w:cs="Times New Roman"/>
        </w:rPr>
        <w:t xml:space="preserve">one-to-two downlink scheduling provided in Section 2.2. </w:t>
      </w:r>
    </w:p>
    <w:p>
      <w:pPr>
        <w:snapToGrid w:val="0"/>
        <w:spacing w:before="120" w:beforeLines="50" w:after="120" w:afterLines="50"/>
        <w:rPr>
          <w:rFonts w:cs="Times New Roman"/>
          <w:i/>
        </w:rPr>
      </w:pPr>
      <w:r>
        <w:rPr>
          <w:rFonts w:cs="Times New Roman"/>
          <w:b/>
          <w:i/>
        </w:rPr>
        <w:t>Observation 5</w:t>
      </w:r>
      <w:r>
        <w:rPr>
          <w:rFonts w:cs="Times New Roman"/>
          <w:i/>
        </w:rPr>
        <w:t xml:space="preserve">: The potential gain of PDCCH blocking rate for one-to-two </w:t>
      </w:r>
      <w:r>
        <w:rPr>
          <w:rFonts w:cs="Times New Roman"/>
          <w:b/>
          <w:i/>
        </w:rPr>
        <w:t>uplink</w:t>
      </w:r>
      <w:r>
        <w:rPr>
          <w:rFonts w:cs="Times New Roman"/>
          <w:i/>
        </w:rPr>
        <w:t xml:space="preserve"> scheduling is the same as that for one-to-two </w:t>
      </w:r>
      <w:r>
        <w:rPr>
          <w:rFonts w:cs="Times New Roman"/>
          <w:b/>
          <w:i/>
        </w:rPr>
        <w:t>downlink</w:t>
      </w:r>
      <w:r>
        <w:rPr>
          <w:rFonts w:cs="Times New Roman"/>
          <w:i/>
        </w:rPr>
        <w:t xml:space="preserve"> scheduling. </w:t>
      </w:r>
    </w:p>
    <w:p>
      <w:pPr>
        <w:rPr>
          <w:rFonts w:cs="Times New Roman"/>
        </w:rPr>
      </w:pPr>
      <w:r>
        <w:rPr>
          <w:rFonts w:cs="Times New Roman"/>
        </w:rPr>
        <w:t xml:space="preserve">In some scenarios where both the uplink throughput and the downlink throughput are very large, such as AR/VR/XR, both uplink and downlink one-to-two scheduling can be applied to reduce PDCCH blocking rate. Compared with unidirectional one-to-two scheduling, this way makes the potential gain of PDCCH blocking rate more considerable. To compare the performance of only enabling one-to-two downlink scheduling and enabling both uplink and downlink one-to-two scheduling in typical scenarios, three cases shown in Fig.6 for PDCCH blocking rate are evaluated in [4]. </w:t>
      </w:r>
    </w:p>
    <w:p>
      <w:pPr>
        <w:rPr>
          <w:rFonts w:cs="Times New Roman"/>
          <w:i/>
          <w:iCs/>
        </w:rPr>
      </w:pPr>
      <w:r>
        <w:rPr>
          <w:rFonts w:cs="Times New Roman"/>
        </w:rPr>
        <w:drawing>
          <wp:inline distT="0" distB="0" distL="114300" distR="114300">
            <wp:extent cx="6120130" cy="2128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6120130" cy="2128520"/>
                    </a:xfrm>
                    <a:prstGeom prst="rect">
                      <a:avLst/>
                    </a:prstGeom>
                    <a:noFill/>
                    <a:ln>
                      <a:noFill/>
                    </a:ln>
                  </pic:spPr>
                </pic:pic>
              </a:graphicData>
            </a:graphic>
          </wp:inline>
        </w:drawing>
      </w:r>
    </w:p>
    <w:p>
      <w:pPr>
        <w:jc w:val="center"/>
        <w:rPr>
          <w:rFonts w:cs="Times New Roman"/>
        </w:rPr>
      </w:pPr>
      <w:r>
        <w:rPr>
          <w:rFonts w:cs="Times New Roman"/>
        </w:rPr>
        <w:t>Fig. 6 Different simulation cases</w:t>
      </w:r>
    </w:p>
    <w:p>
      <w:r>
        <w:rPr>
          <w:rFonts w:cs="Times New Roman"/>
        </w:rPr>
        <w:t xml:space="preserve">According to the simulation results provided in [4], the gain of case 3 is </w:t>
      </w:r>
      <w:r>
        <w:rPr>
          <w:rFonts w:hint="eastAsia" w:eastAsia="宋体" w:cs="Times New Roman"/>
          <w:lang w:val="en-US" w:eastAsia="zh-CN"/>
        </w:rPr>
        <w:t>about 5.6% ~ 9.1</w:t>
      </w:r>
      <w:r>
        <w:rPr>
          <w:rFonts w:cs="Times New Roman"/>
        </w:rPr>
        <w:t xml:space="preserve">% higher than that of case 2, which proves that </w:t>
      </w:r>
      <w:r>
        <w:rPr>
          <w:rFonts w:hint="eastAsia" w:eastAsia="宋体" w:cs="Times New Roman"/>
          <w:lang w:val="en-US" w:eastAsia="zh-CN"/>
        </w:rPr>
        <w:t>more gains can be achieved</w:t>
      </w:r>
      <w:r>
        <w:rPr>
          <w:rFonts w:cs="Times New Roman"/>
        </w:rPr>
        <w:t xml:space="preserve"> after the one-to-two uplink scheduling is introduced.</w:t>
      </w:r>
    </w:p>
    <w:p>
      <w:pPr>
        <w:snapToGrid w:val="0"/>
        <w:spacing w:before="120" w:beforeLines="50" w:after="120" w:afterLines="50"/>
        <w:rPr>
          <w:i/>
        </w:rPr>
      </w:pPr>
    </w:p>
    <w:p>
      <w:pPr>
        <w:pStyle w:val="3"/>
        <w:rPr>
          <w:lang w:val="en-US"/>
        </w:rPr>
      </w:pPr>
      <w:r>
        <w:rPr>
          <w:lang w:val="en-US"/>
        </w:rPr>
        <w:t>One DCI scheduling PDSCH/PUSCH for more than 2 cells</w:t>
      </w:r>
    </w:p>
    <w:p>
      <w:pPr>
        <w:snapToGrid w:val="0"/>
        <w:spacing w:before="120" w:beforeLines="50" w:after="120" w:afterLines="50"/>
      </w:pPr>
      <w:r>
        <w:t>According to the simulation results provided in Section 2.2, the PDCCH block</w:t>
      </w:r>
      <w:r>
        <w:rPr>
          <w:rFonts w:hint="eastAsia" w:eastAsia="宋体"/>
          <w:lang w:val="en-US" w:eastAsia="zh-CN"/>
        </w:rPr>
        <w:t>age</w:t>
      </w:r>
      <w:r>
        <w:t xml:space="preserve"> gain is very limited in most cases, especially in the case where most DCI fields are separately indicated for two carriers. Except enabling both uplink and downlink one-to-two scheduling at the same time, the number of scheduled cells can be extend for more PDCCH block</w:t>
      </w:r>
      <w:r>
        <w:rPr>
          <w:rFonts w:hint="eastAsia" w:eastAsia="宋体"/>
          <w:lang w:val="en-US" w:eastAsia="zh-CN"/>
        </w:rPr>
        <w:t xml:space="preserve">age </w:t>
      </w:r>
      <w:r>
        <w:t>gain.</w:t>
      </w:r>
      <w:r>
        <w:rPr>
          <w:rFonts w:hint="eastAsia"/>
        </w:rPr>
        <w:t xml:space="preserve"> To compare the performance of one-to-two scheduling and one-to-more scheduling (such as one-to-three scheduling</w:t>
      </w:r>
      <w:r>
        <w:t xml:space="preserve"> in our simulation</w:t>
      </w:r>
      <w:r>
        <w:rPr>
          <w:rFonts w:hint="eastAsia"/>
        </w:rPr>
        <w:t xml:space="preserve">) in typical scenarios, three cases shown in Fig.7 for PDCCH blocking rate are evaluated in [4]. </w:t>
      </w:r>
    </w:p>
    <w:p>
      <w:pPr>
        <w:snapToGrid w:val="0"/>
        <w:spacing w:before="120" w:beforeLines="50" w:after="120" w:afterLines="50"/>
      </w:pPr>
      <w:r>
        <w:drawing>
          <wp:inline distT="0" distB="0" distL="114300" distR="114300">
            <wp:extent cx="6118860" cy="2062480"/>
            <wp:effectExtent l="0" t="0" r="762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6"/>
                    <a:stretch>
                      <a:fillRect/>
                    </a:stretch>
                  </pic:blipFill>
                  <pic:spPr>
                    <a:xfrm>
                      <a:off x="0" y="0"/>
                      <a:ext cx="6118860" cy="2062480"/>
                    </a:xfrm>
                    <a:prstGeom prst="rect">
                      <a:avLst/>
                    </a:prstGeom>
                    <a:noFill/>
                    <a:ln>
                      <a:noFill/>
                    </a:ln>
                  </pic:spPr>
                </pic:pic>
              </a:graphicData>
            </a:graphic>
          </wp:inline>
        </w:drawing>
      </w:r>
    </w:p>
    <w:p>
      <w:pPr>
        <w:jc w:val="center"/>
      </w:pPr>
      <w:r>
        <w:t xml:space="preserve">Fig. </w:t>
      </w:r>
      <w:r>
        <w:rPr>
          <w:rFonts w:hint="eastAsia"/>
        </w:rPr>
        <w:t>7</w:t>
      </w:r>
      <w:r>
        <w:t xml:space="preserve"> </w:t>
      </w:r>
      <w:r>
        <w:rPr>
          <w:rFonts w:hint="eastAsia"/>
        </w:rPr>
        <w:t>D</w:t>
      </w:r>
      <w:r>
        <w:t xml:space="preserve">ifferent simulation </w:t>
      </w:r>
      <w:r>
        <w:rPr>
          <w:rFonts w:hint="eastAsia"/>
        </w:rPr>
        <w:t>cases</w:t>
      </w:r>
    </w:p>
    <w:p>
      <w:pPr>
        <w:spacing w:before="120" w:beforeLines="50"/>
      </w:pPr>
      <w:r>
        <w:rPr>
          <w:rFonts w:hint="eastAsia"/>
        </w:rPr>
        <w:t xml:space="preserve">According to the simulation results provided in [4], the gain of </w:t>
      </w:r>
      <w:r>
        <w:rPr>
          <w:rFonts w:hint="eastAsia"/>
          <w:color w:val="000000"/>
        </w:rPr>
        <w:t>c</w:t>
      </w:r>
      <w:r>
        <w:rPr>
          <w:rFonts w:eastAsia="Times New Roman"/>
          <w:color w:val="000000"/>
        </w:rPr>
        <w:t xml:space="preserve">ase </w:t>
      </w:r>
      <w:r>
        <w:rPr>
          <w:rFonts w:hint="eastAsia"/>
          <w:color w:val="000000"/>
        </w:rPr>
        <w:t>Ⅲ</w:t>
      </w:r>
      <w:r>
        <w:rPr>
          <w:rFonts w:hint="eastAsia"/>
        </w:rPr>
        <w:t xml:space="preserve"> is more than that of </w:t>
      </w:r>
      <w:r>
        <w:rPr>
          <w:rFonts w:hint="eastAsia"/>
          <w:color w:val="000000"/>
        </w:rPr>
        <w:t>c</w:t>
      </w:r>
      <w:r>
        <w:rPr>
          <w:rFonts w:eastAsia="Times New Roman"/>
          <w:color w:val="000000"/>
        </w:rPr>
        <w:t xml:space="preserve">ase </w:t>
      </w:r>
      <w:r>
        <w:rPr>
          <w:rFonts w:hint="eastAsia"/>
          <w:color w:val="000000"/>
        </w:rPr>
        <w:t>Ⅱ</w:t>
      </w:r>
      <w:r>
        <w:rPr>
          <w:rFonts w:hint="eastAsia"/>
        </w:rPr>
        <w:t xml:space="preserve">. </w:t>
      </w:r>
      <w:r>
        <w:t xml:space="preserve">Extending the number of joint scheduling cells can further enhance uplink or downlink transmission performance. It can be predicted that the scenario where both uplink and downlink CA are enabled </w:t>
      </w:r>
      <w:r>
        <w:rPr>
          <w:rFonts w:hint="eastAsia" w:eastAsia="宋体"/>
          <w:lang w:val="en-US" w:eastAsia="zh-CN"/>
        </w:rPr>
        <w:t>will get</w:t>
      </w:r>
      <w:r>
        <w:t xml:space="preserve"> a greater gain.</w:t>
      </w:r>
    </w:p>
    <w:p>
      <w:pPr>
        <w:spacing w:before="120" w:beforeLines="50"/>
      </w:pPr>
    </w:p>
    <w:p>
      <w:pPr>
        <w:pStyle w:val="2"/>
      </w:pPr>
      <w:r>
        <w:t>Open Issues</w:t>
      </w:r>
    </w:p>
    <w:p>
      <w:pPr>
        <w:rPr>
          <w:rFonts w:ascii="New York" w:hAnsi="New York"/>
        </w:rPr>
      </w:pPr>
      <w:r>
        <w:rPr>
          <w:rFonts w:hint="eastAsia" w:ascii="New York" w:hAnsi="New York"/>
        </w:rPr>
        <w:t>I</w:t>
      </w:r>
      <w:r>
        <w:rPr>
          <w:rFonts w:ascii="New York" w:hAnsi="New York"/>
        </w:rPr>
        <w:t xml:space="preserve">f agreed to specify PDCCH of P(S)Cell/SCell scheduling PDSCH on </w:t>
      </w:r>
      <w:r>
        <w:rPr>
          <w:rFonts w:hint="eastAsia" w:ascii="New York" w:hAnsi="New York"/>
        </w:rPr>
        <w:t>up to two</w:t>
      </w:r>
      <w:r>
        <w:rPr>
          <w:rFonts w:ascii="New York" w:hAnsi="New York"/>
        </w:rPr>
        <w:t xml:space="preserve"> cells using a single DCI</w:t>
      </w:r>
      <w:r>
        <w:rPr>
          <w:rFonts w:hint="eastAsia" w:ascii="New York" w:hAnsi="New York"/>
        </w:rPr>
        <w:t>, then each DCI field need</w:t>
      </w:r>
      <w:r>
        <w:rPr>
          <w:rFonts w:ascii="New York" w:hAnsi="New York"/>
        </w:rPr>
        <w:t>s</w:t>
      </w:r>
      <w:r>
        <w:rPr>
          <w:rFonts w:hint="eastAsia" w:ascii="New York" w:hAnsi="New York"/>
        </w:rPr>
        <w:t xml:space="preserve"> to be decided whether </w:t>
      </w:r>
      <w:r>
        <w:rPr>
          <w:rFonts w:ascii="New York" w:hAnsi="New York"/>
        </w:rPr>
        <w:t xml:space="preserve">to adopt </w:t>
      </w:r>
      <w:r>
        <w:rPr>
          <w:rFonts w:hint="eastAsia" w:ascii="New York" w:hAnsi="New York"/>
        </w:rPr>
        <w:t xml:space="preserve">shared </w:t>
      </w:r>
      <w:r>
        <w:rPr>
          <w:rFonts w:ascii="New York" w:hAnsi="New York"/>
        </w:rPr>
        <w:t xml:space="preserve">indication </w:t>
      </w:r>
      <w:r>
        <w:rPr>
          <w:rFonts w:hint="eastAsia" w:ascii="New York" w:hAnsi="New York"/>
        </w:rPr>
        <w:t xml:space="preserve">or separate indication. </w:t>
      </w:r>
      <w:r>
        <w:rPr>
          <w:rFonts w:ascii="New York" w:hAnsi="New York"/>
        </w:rPr>
        <w:t xml:space="preserve">For shared indication, the two PDSCHs on two different carriers can share the same valued indicated by the DCI field. While for separate indication, two separate values are indicated to the two PDSCHs on two different carriers, respectively. </w:t>
      </w:r>
    </w:p>
    <w:p>
      <w:r>
        <w:rPr>
          <w:rFonts w:hint="eastAsia" w:ascii="New York" w:hAnsi="New York"/>
        </w:rPr>
        <w:t xml:space="preserve">Then for this single DCI with enhanced scheduling, whether using </w:t>
      </w:r>
      <w:r>
        <w:rPr>
          <w:rFonts w:ascii="New York" w:hAnsi="New York"/>
        </w:rPr>
        <w:t>existing DL assignment(s)</w:t>
      </w:r>
      <w:r>
        <w:rPr>
          <w:rFonts w:hint="eastAsia" w:ascii="New York" w:hAnsi="New York"/>
        </w:rPr>
        <w:t xml:space="preserve"> or new DL format should be determined. Furthermore, for this single DCI with enhanced scheduling, t</w:t>
      </w:r>
      <w:r>
        <w:rPr>
          <w:rFonts w:ascii="New York" w:hAnsi="New York"/>
        </w:rPr>
        <w:t>he total PDCCH blind decoding budget should not be changed as a result of this work</w:t>
      </w:r>
      <w:r>
        <w:rPr>
          <w:rFonts w:hint="eastAsia" w:ascii="New York" w:hAnsi="New York"/>
        </w:rPr>
        <w:t>.</w:t>
      </w:r>
    </w:p>
    <w:p>
      <w:pPr>
        <w:pStyle w:val="3"/>
        <w:rPr>
          <w:lang w:val="en-US"/>
        </w:rPr>
      </w:pPr>
      <w:r>
        <w:rPr>
          <w:rFonts w:hint="eastAsia"/>
          <w:lang w:val="en-US"/>
        </w:rPr>
        <w:t>DCI fields</w:t>
      </w:r>
    </w:p>
    <w:p>
      <w:r>
        <w:t>Firstly, we assume the baseline DCI format for legacy PDSCH scheduling is Rel-15 DCI format 1_1</w:t>
      </w:r>
      <w:r>
        <w:rPr>
          <w:rFonts w:hint="eastAsia"/>
        </w:rPr>
        <w:t xml:space="preserve"> with cross-carrier scheduling function</w:t>
      </w:r>
      <w:r>
        <w:t xml:space="preserve">. </w:t>
      </w:r>
      <w:r>
        <w:rPr>
          <w:rFonts w:hint="eastAsia"/>
        </w:rPr>
        <w:t xml:space="preserve">All Rel-15 DCI fields of DCI format 1_1 are listed in Table 1 below. For each field of the single DCI with enhanced scheduling, whether </w:t>
      </w:r>
      <w:r>
        <w:t xml:space="preserve">to adopt </w:t>
      </w:r>
      <w:r>
        <w:rPr>
          <w:rFonts w:hint="eastAsia"/>
        </w:rPr>
        <w:t xml:space="preserve">shared or separate indication should be determined. For example, Identifier for DCI formats can </w:t>
      </w:r>
      <w:r>
        <w:t>apply</w:t>
      </w:r>
      <w:r>
        <w:rPr>
          <w:rFonts w:hint="eastAsia"/>
        </w:rPr>
        <w:t xml:space="preserve"> shared indication because the cells are both scheduled with PDSCH. The Frequency/Time resource on the two cells can be indicated shared or separately due to different requirement/configuration on the two cells. In order to maintain system efficiency, AMC related fields should be indicated separately. The feedback of the PDSCH on the two cells can be in same codebook/channel or different codebook/channel, as a result the </w:t>
      </w:r>
      <w:r>
        <w:t xml:space="preserve">HARQ </w:t>
      </w:r>
      <w:r>
        <w:rPr>
          <w:rFonts w:hint="eastAsia"/>
        </w:rPr>
        <w:t xml:space="preserve">feedback related fields can </w:t>
      </w:r>
      <w:r>
        <w:t>apply either</w:t>
      </w:r>
      <w:r>
        <w:rPr>
          <w:rFonts w:hint="eastAsia"/>
        </w:rPr>
        <w:t xml:space="preserve"> shared or separate indication accordingly. For MIMO related fields, it may depend on the detailed configuration of the two carriers and UE feature which can be also shared or separate indication.</w:t>
      </w:r>
    </w:p>
    <w:p>
      <w:r>
        <w:rPr>
          <w:rFonts w:hint="eastAsia"/>
          <w:b/>
          <w:i/>
          <w:iCs/>
        </w:rPr>
        <w:t>O</w:t>
      </w:r>
      <w:r>
        <w:rPr>
          <w:b/>
          <w:i/>
          <w:iCs/>
        </w:rPr>
        <w:t xml:space="preserve">bservation </w:t>
      </w:r>
      <w:r>
        <w:rPr>
          <w:rFonts w:hint="eastAsia"/>
          <w:b/>
          <w:i/>
          <w:iCs/>
        </w:rPr>
        <w:t>6</w:t>
      </w:r>
      <w:r>
        <w:rPr>
          <w:i/>
          <w:iCs/>
        </w:rPr>
        <w:t>: If single DCI scheduling two PDSCHs on two carriers is supported, RAN1 needs to discuss whether to adopt shared indication or separate indication for each DCI field.</w:t>
      </w:r>
    </w:p>
    <w:p>
      <w:pPr>
        <w:jc w:val="center"/>
      </w:pPr>
      <w:r>
        <w:rPr>
          <w:rFonts w:hint="eastAsia"/>
        </w:rPr>
        <w:t>Table 1 DCI fields for the single DCI with enhanced scheduling (assume BWP = 100 PRBs)</w:t>
      </w:r>
    </w:p>
    <w:tbl>
      <w:tblPr>
        <w:tblStyle w:val="51"/>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637"/>
        <w:gridCol w:w="1088"/>
        <w:gridCol w:w="2225"/>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2E75B5" w:themeFill="accent1" w:themeFillShade="BF"/>
          </w:tcPr>
          <w:p>
            <w:pPr>
              <w:pStyle w:val="126"/>
              <w:numPr>
                <w:ilvl w:val="0"/>
                <w:numId w:val="0"/>
              </w:numPr>
              <w:spacing w:before="0" w:after="0" w:line="240" w:lineRule="auto"/>
              <w:jc w:val="center"/>
            </w:pPr>
            <w:r>
              <w:t>DCI fields of Format 1_1</w:t>
            </w:r>
          </w:p>
        </w:tc>
        <w:tc>
          <w:tcPr>
            <w:tcW w:w="1637" w:type="dxa"/>
            <w:tcBorders>
              <w:top w:val="single" w:color="auto" w:sz="4" w:space="0"/>
              <w:left w:val="single" w:color="auto" w:sz="4" w:space="0"/>
              <w:bottom w:val="single" w:color="auto" w:sz="4" w:space="0"/>
              <w:right w:val="single" w:color="auto" w:sz="4" w:space="0"/>
            </w:tcBorders>
            <w:shd w:val="clear" w:color="auto" w:fill="BE8F00" w:themeFill="accent4" w:themeFillShade="BF"/>
          </w:tcPr>
          <w:p>
            <w:pPr>
              <w:pStyle w:val="126"/>
              <w:numPr>
                <w:ilvl w:val="0"/>
                <w:numId w:val="0"/>
              </w:numPr>
              <w:spacing w:before="0" w:after="0" w:line="240" w:lineRule="auto"/>
              <w:jc w:val="center"/>
            </w:pPr>
            <w:r>
              <w:t>Bit size of Format 1_1 (bits)</w:t>
            </w:r>
          </w:p>
        </w:tc>
        <w:tc>
          <w:tcPr>
            <w:tcW w:w="1088" w:type="dxa"/>
            <w:tcBorders>
              <w:top w:val="single" w:color="auto" w:sz="4" w:space="0"/>
              <w:left w:val="single" w:color="auto" w:sz="4" w:space="0"/>
              <w:bottom w:val="single" w:color="auto" w:sz="4" w:space="0"/>
              <w:right w:val="single" w:color="auto" w:sz="4" w:space="0"/>
            </w:tcBorders>
            <w:shd w:val="clear" w:color="auto" w:fill="BE8F00" w:themeFill="accent4" w:themeFillShade="BF"/>
          </w:tcPr>
          <w:p>
            <w:pPr>
              <w:pStyle w:val="126"/>
              <w:numPr>
                <w:ilvl w:val="0"/>
                <w:numId w:val="0"/>
              </w:numPr>
              <w:spacing w:before="0" w:after="0" w:line="240" w:lineRule="auto"/>
              <w:jc w:val="center"/>
            </w:pPr>
            <w:r>
              <w:t>Baseline size (bits)</w:t>
            </w:r>
          </w:p>
        </w:tc>
        <w:tc>
          <w:tcPr>
            <w:tcW w:w="2225" w:type="dxa"/>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pPr>
            <w:r>
              <w:t>Single DCI with enhanced scheduling (Shared or Separate indication)</w:t>
            </w:r>
          </w:p>
        </w:tc>
        <w:tc>
          <w:tcPr>
            <w:tcW w:w="2111" w:type="dxa"/>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before="0" w:after="0" w:line="240" w:lineRule="auto"/>
              <w:jc w:val="center"/>
            </w:pPr>
            <w:r>
              <w:t xml:space="preserve">Bit size of Single DCI with enhanced scheduling compared with baseline size (bits)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Identifier for DCI formats</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Carrier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3</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Bandwidth part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Frequency domain resource assignment</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13</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13</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13 or </w:t>
            </w:r>
            <w: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Time domain resource assignment</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0 - 4</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4 or </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VRB-to-PRB mapping</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 or </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PRB bundling size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 xml:space="preserve">1 or </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Rate matching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ZP CSI-RS trigger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0 - 2</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Modulation and coding scheme</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New data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TB1: Redundancy version</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Modulation and coding scheme</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5</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New data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TB2: Redundancy version</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HARQ process number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Downlink assignment index</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2, or 4</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TPC command for scheduled PUCCH</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PUCCH resource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K1 timing indicator</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0 - 3</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Antenna port(s)</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 5, or 6</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4</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4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Transmission configuration indication</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3</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3 or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SRS request</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 or 3</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2</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2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CBG transmission information (CBGTI)</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2, 4, 6, or 8</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CBG flushing out information (CBGFI)</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0 or 1</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DMRS sequence initialization</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1</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Shared or separate</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before="0" w:after="0" w:line="240" w:lineRule="auto"/>
            </w:pPr>
            <w:r>
              <w:t>Total size (excluding CRC)</w:t>
            </w:r>
          </w:p>
        </w:tc>
        <w:tc>
          <w:tcPr>
            <w:tcW w:w="1637"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38 - 83</w:t>
            </w:r>
          </w:p>
        </w:tc>
        <w:tc>
          <w:tcPr>
            <w:tcW w:w="1088" w:type="dxa"/>
            <w:tcBorders>
              <w:top w:val="single" w:color="auto" w:sz="4" w:space="0"/>
              <w:left w:val="single" w:color="auto" w:sz="4" w:space="0"/>
              <w:bottom w:val="single" w:color="auto" w:sz="4" w:space="0"/>
              <w:right w:val="single" w:color="auto" w:sz="4" w:space="0"/>
            </w:tcBorders>
            <w:shd w:val="clear" w:color="auto" w:fill="FFE599" w:themeFill="accent4" w:themeFillTint="66"/>
          </w:tcPr>
          <w:p>
            <w:pPr>
              <w:pStyle w:val="126"/>
              <w:numPr>
                <w:ilvl w:val="0"/>
                <w:numId w:val="0"/>
              </w:numPr>
              <w:spacing w:before="0" w:after="0" w:line="240" w:lineRule="auto"/>
              <w:jc w:val="center"/>
            </w:pPr>
            <w:r>
              <w:t>60</w:t>
            </w:r>
          </w:p>
        </w:tc>
        <w:tc>
          <w:tcPr>
            <w:tcW w:w="2225"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t>Total size (bits)</w:t>
            </w:r>
          </w:p>
        </w:tc>
        <w:tc>
          <w:tcPr>
            <w:tcW w:w="2111"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before="0" w:after="0" w:line="240" w:lineRule="auto"/>
              <w:jc w:val="center"/>
            </w:pPr>
            <w:r>
              <w:rPr>
                <w:rFonts w:hint="eastAsia"/>
              </w:rPr>
              <w:t>74</w:t>
            </w:r>
            <w:r>
              <w:t xml:space="preserve"> - 119</w:t>
            </w:r>
          </w:p>
        </w:tc>
      </w:tr>
    </w:tbl>
    <w:p>
      <w:pPr>
        <w:spacing w:before="120" w:beforeLines="50"/>
      </w:pPr>
      <w:r>
        <w:t>Ideally, all the DCI fields adopt separate indication for the one-to-two scheduling DCI. In this case, network can have fully flexibility and can guarantee the PDSCH throughput. However, the DCI size of this one-to-two scheduling DCI is pretty large, which will result with high PDCCH blockage and thus negate the benefits of one-to-two scheduling. On the other hand, if all the DCI fields adopt shared indication for the one-to-two scheduling DCI. In this case, the PDSCH scheduling would have lots of limitations, which may lead to performance degradation in the end. It is hard to figure out the trade</w:t>
      </w:r>
      <w:r>
        <w:rPr>
          <w:rFonts w:hint="eastAsia"/>
        </w:rPr>
        <w:t xml:space="preserve"> </w:t>
      </w:r>
      <w:r>
        <w:t xml:space="preserve">off between flexibility and DCI size considering that different companies may have different views. </w:t>
      </w:r>
    </w:p>
    <w:p>
      <w:pPr>
        <w:spacing w:before="120" w:beforeLines="50"/>
      </w:pPr>
      <w:r>
        <w:rPr>
          <w:rFonts w:hint="eastAsia"/>
        </w:rPr>
        <w:t>B</w:t>
      </w:r>
      <w:r>
        <w:t xml:space="preserve">ased on our preliminary analysis, to guarantee at least the moderate flexibility, the size of this enhanced DCI for one-to-two scheduling is at least </w:t>
      </w:r>
      <w:r>
        <w:rPr>
          <w:rFonts w:hint="eastAsia"/>
        </w:rPr>
        <w:t>74</w:t>
      </w:r>
      <w:r>
        <w:t xml:space="preserve"> bits</w:t>
      </w:r>
      <w:r>
        <w:rPr>
          <w:rFonts w:hint="eastAsia"/>
        </w:rPr>
        <w:t xml:space="preserve"> compared with baseline size of 60 bits for legacy scheduling in Table 1</w:t>
      </w:r>
      <w:r>
        <w:t xml:space="preserve">. If we want to have </w:t>
      </w:r>
      <w:r>
        <w:rPr>
          <w:rFonts w:hint="eastAsia"/>
        </w:rPr>
        <w:t>fully</w:t>
      </w:r>
      <w:r>
        <w:t xml:space="preserve"> flexibility, the DCI size can go up to 119 bits. Furthermore, if two TBs </w:t>
      </w:r>
      <w:r>
        <w:rPr>
          <w:rFonts w:hint="eastAsia"/>
        </w:rPr>
        <w:t xml:space="preserve">or CBG transmission </w:t>
      </w:r>
      <w:r>
        <w:t xml:space="preserve">are </w:t>
      </w:r>
      <w:r>
        <w:rPr>
          <w:rFonts w:hint="eastAsia"/>
        </w:rPr>
        <w:t>supported</w:t>
      </w:r>
      <w:r>
        <w:t xml:space="preserve"> on each carrier, then the DCI size will be increased further. </w:t>
      </w:r>
    </w:p>
    <w:p>
      <w:pPr>
        <w:spacing w:before="120" w:beforeLines="50"/>
      </w:pPr>
      <w:r>
        <w:rPr>
          <w:rFonts w:hint="eastAsia"/>
        </w:rPr>
        <w:t>Furthermore, other DCI fields introduced in Rel-16 of DCI format 1_1 are listed in Table 2 below. For simpl</w:t>
      </w:r>
      <w:r>
        <w:t>icity</w:t>
      </w:r>
      <w:r>
        <w:rPr>
          <w:rFonts w:hint="eastAsia"/>
        </w:rPr>
        <w:t xml:space="preserve">, Rel-16 NRU/URLLC/Power saving </w:t>
      </w:r>
      <w:r>
        <w:t xml:space="preserve">related DCI fields </w:t>
      </w:r>
      <w:r>
        <w:rPr>
          <w:rFonts w:hint="eastAsia"/>
        </w:rPr>
        <w:t xml:space="preserve">can be ignored in Rel-17 DSS, thus the fields in Table 2 can be all ignored. </w:t>
      </w:r>
      <w:r>
        <w:t>However, i</w:t>
      </w:r>
      <w:r>
        <w:rPr>
          <w:rFonts w:hint="eastAsia"/>
        </w:rPr>
        <w:t xml:space="preserve">f one or both </w:t>
      </w:r>
      <w:r>
        <w:t xml:space="preserve">of </w:t>
      </w:r>
      <w:r>
        <w:rPr>
          <w:rFonts w:hint="eastAsia"/>
        </w:rPr>
        <w:t xml:space="preserve">cells </w:t>
      </w:r>
      <w:r>
        <w:t>are</w:t>
      </w:r>
      <w:r>
        <w:rPr>
          <w:rFonts w:hint="eastAsia"/>
        </w:rPr>
        <w:t xml:space="preserve"> </w:t>
      </w:r>
      <w:r>
        <w:t>configured with</w:t>
      </w:r>
      <w:r>
        <w:rPr>
          <w:rFonts w:hint="eastAsia"/>
        </w:rPr>
        <w:t xml:space="preserve"> NRU/URLLC/Power saving</w:t>
      </w:r>
      <w:r>
        <w:t xml:space="preserve"> related functionality</w:t>
      </w:r>
      <w:r>
        <w:rPr>
          <w:rFonts w:hint="eastAsia"/>
        </w:rPr>
        <w:t xml:space="preserve">, then each field in Table 2 should be determined </w:t>
      </w:r>
      <w:r>
        <w:t xml:space="preserve">whether </w:t>
      </w:r>
      <w:r>
        <w:rPr>
          <w:rFonts w:hint="eastAsia"/>
        </w:rPr>
        <w:t xml:space="preserve">to </w:t>
      </w:r>
      <w:r>
        <w:t xml:space="preserve">adopt </w:t>
      </w:r>
      <w:r>
        <w:rPr>
          <w:rFonts w:hint="eastAsia"/>
        </w:rPr>
        <w:t xml:space="preserve">shared or separate indication </w:t>
      </w:r>
      <w:r>
        <w:t xml:space="preserve">for </w:t>
      </w:r>
      <w:r>
        <w:rPr>
          <w:rFonts w:hint="eastAsia"/>
        </w:rPr>
        <w:t xml:space="preserve">the single DCI with enhanced scheduling. For </w:t>
      </w:r>
      <w:r>
        <w:t>SCell dormancy indication</w:t>
      </w:r>
      <w:r>
        <w:rPr>
          <w:rFonts w:hint="eastAsia"/>
        </w:rPr>
        <w:t xml:space="preserve"> field, it can be shared indication because it originally used for a group of cells of each bit. While for other fields, more studies are needed.</w:t>
      </w:r>
    </w:p>
    <w:p>
      <w:pPr>
        <w:rPr>
          <w:i/>
          <w:iCs/>
        </w:rPr>
      </w:pPr>
      <w:r>
        <w:rPr>
          <w:rFonts w:hint="eastAsia"/>
          <w:b/>
          <w:i/>
          <w:iCs/>
        </w:rPr>
        <w:t>O</w:t>
      </w:r>
      <w:r>
        <w:rPr>
          <w:b/>
          <w:i/>
          <w:iCs/>
        </w:rPr>
        <w:t xml:space="preserve">bservation </w:t>
      </w:r>
      <w:r>
        <w:rPr>
          <w:rFonts w:hint="eastAsia"/>
          <w:b/>
          <w:i/>
          <w:iCs/>
        </w:rPr>
        <w:t>7</w:t>
      </w:r>
      <w:r>
        <w:rPr>
          <w:i/>
          <w:iCs/>
        </w:rPr>
        <w:t xml:space="preserve">: If single DCI scheduling two PDSCHs on two carriers is supported, RAN1 needs to further study how to handle the Rel-16 newly introduced DCI fields in DCI format 1_1. </w:t>
      </w:r>
    </w:p>
    <w:p>
      <w:pPr>
        <w:jc w:val="center"/>
      </w:pPr>
      <w:r>
        <w:rPr>
          <w:rFonts w:hint="eastAsia"/>
        </w:rPr>
        <w:t>Table 2 DCI fields introduced in Rel-16 for the single DCI with enhanced scheduling</w:t>
      </w:r>
    </w:p>
    <w:tbl>
      <w:tblPr>
        <w:tblStyle w:val="50"/>
        <w:tblW w:w="6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637"/>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2E75B5" w:themeFill="accent1" w:themeFillShade="BF"/>
          </w:tcPr>
          <w:p>
            <w:pPr>
              <w:pStyle w:val="126"/>
              <w:numPr>
                <w:ilvl w:val="0"/>
                <w:numId w:val="0"/>
              </w:numPr>
              <w:spacing w:after="0"/>
              <w:jc w:val="center"/>
            </w:pPr>
            <w:r>
              <w:t>DCI field</w:t>
            </w:r>
            <w:r>
              <w:rPr>
                <w:rFonts w:hint="eastAsia"/>
              </w:rPr>
              <w:t>s of Format 1_1</w:t>
            </w:r>
          </w:p>
        </w:tc>
        <w:tc>
          <w:tcPr>
            <w:tcW w:w="1637" w:type="dxa"/>
            <w:tcBorders>
              <w:top w:val="single" w:color="auto" w:sz="4" w:space="0"/>
              <w:left w:val="single" w:color="auto" w:sz="4" w:space="0"/>
              <w:bottom w:val="single" w:color="auto" w:sz="4" w:space="0"/>
              <w:right w:val="single" w:color="auto" w:sz="4" w:space="0"/>
            </w:tcBorders>
            <w:shd w:val="clear" w:color="auto" w:fill="BE8F00" w:themeFill="accent4" w:themeFillShade="BF"/>
          </w:tcPr>
          <w:p>
            <w:pPr>
              <w:pStyle w:val="126"/>
              <w:numPr>
                <w:ilvl w:val="0"/>
                <w:numId w:val="0"/>
              </w:numPr>
              <w:spacing w:after="0"/>
              <w:jc w:val="center"/>
            </w:pPr>
            <w:r>
              <w:t xml:space="preserve">Bit size </w:t>
            </w:r>
            <w:r>
              <w:rPr>
                <w:rFonts w:hint="eastAsia"/>
              </w:rPr>
              <w:t xml:space="preserve">of Format 1_1 </w:t>
            </w:r>
            <w:r>
              <w:t>(bit</w:t>
            </w:r>
            <w:r>
              <w:rPr>
                <w:rFonts w:hint="eastAsia"/>
              </w:rPr>
              <w:t>s</w:t>
            </w:r>
            <w:r>
              <w:t>)</w:t>
            </w:r>
          </w:p>
        </w:tc>
        <w:tc>
          <w:tcPr>
            <w:tcW w:w="2287" w:type="dxa"/>
            <w:tcBorders>
              <w:top w:val="single" w:color="auto" w:sz="4" w:space="0"/>
              <w:left w:val="single" w:color="auto" w:sz="4" w:space="0"/>
              <w:bottom w:val="single" w:color="auto" w:sz="4" w:space="0"/>
              <w:right w:val="single" w:color="auto" w:sz="4" w:space="0"/>
            </w:tcBorders>
            <w:shd w:val="clear" w:color="auto" w:fill="C55911" w:themeFill="accent2" w:themeFillShade="BF"/>
          </w:tcPr>
          <w:p>
            <w:pPr>
              <w:pStyle w:val="126"/>
              <w:numPr>
                <w:ilvl w:val="0"/>
                <w:numId w:val="0"/>
              </w:numPr>
              <w:spacing w:after="0"/>
              <w:jc w:val="center"/>
            </w:pPr>
            <w:r>
              <w:rPr>
                <w:rFonts w:hint="eastAsia"/>
              </w:rPr>
              <w:t xml:space="preserve">Single DCI with enhanced scheduling (Shared or </w:t>
            </w:r>
            <w:r>
              <w:t>Separate indication</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t>One-shot HARQ-ACK request</w:t>
            </w:r>
            <w:r>
              <w:rPr>
                <w:rFonts w:hint="eastAsia"/>
              </w:rPr>
              <w:t xml:space="preserve"> </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rPr>
                <w:rFonts w:hint="eastAsia"/>
              </w:rPr>
              <w:t xml:space="preserve">0 or </w:t>
            </w:r>
            <w:r>
              <w:t>1</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t>Share</w:t>
            </w:r>
            <w:r>
              <w:rPr>
                <w:rFonts w:hint="eastAsia"/>
              </w:rPr>
              <w:t>d or 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t>PDSCH group index</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t xml:space="preserve">0 or </w:t>
            </w:r>
            <w:r>
              <w:rPr>
                <w:rFonts w:hint="eastAsia"/>
              </w:rPr>
              <w:t>1</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t>Share</w:t>
            </w:r>
            <w:r>
              <w:rPr>
                <w:rFonts w:hint="eastAsia"/>
              </w:rPr>
              <w:t>d or 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t>New feedback indicator</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t>0 – 2</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t>Share</w:t>
            </w:r>
            <w:r>
              <w:rPr>
                <w:rFonts w:hint="eastAsia"/>
              </w:rPr>
              <w:t>d or 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t>Number of requested PDSCH group(s)</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t xml:space="preserve">0 or </w:t>
            </w:r>
            <w:r>
              <w:rPr>
                <w:rFonts w:hint="eastAsia"/>
              </w:rPr>
              <w:t>1</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t>Share</w:t>
            </w:r>
            <w:r>
              <w:rPr>
                <w:rFonts w:hint="eastAsia"/>
              </w:rPr>
              <w:t>d or 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t>ChannelAccess-CPext</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t>0 - 4</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t>Share</w:t>
            </w:r>
            <w:r>
              <w:rPr>
                <w:rFonts w:hint="eastAsia"/>
              </w:rPr>
              <w:t>d or 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t>Priority indicator</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t>0 or 1</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t>Share</w:t>
            </w:r>
            <w:r>
              <w:rPr>
                <w:rFonts w:hint="eastAsia"/>
              </w:rPr>
              <w:t>d or 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rPr>
                <w:rFonts w:eastAsia="等线"/>
              </w:rPr>
              <w:t>Minimum applicable scheduling offset indicator</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t>0 or 1</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t>Share</w:t>
            </w:r>
            <w:r>
              <w:rPr>
                <w:rFonts w:hint="eastAsia"/>
              </w:rPr>
              <w:t>d or 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8" w:type="dxa"/>
            <w:tcBorders>
              <w:top w:val="single" w:color="auto" w:sz="4" w:space="0"/>
              <w:left w:val="single" w:color="auto" w:sz="4" w:space="0"/>
              <w:bottom w:val="single" w:color="auto" w:sz="4" w:space="0"/>
              <w:right w:val="single" w:color="auto" w:sz="4" w:space="0"/>
            </w:tcBorders>
            <w:shd w:val="clear" w:color="auto" w:fill="9CC2E5" w:themeFill="accent1" w:themeFillTint="99"/>
          </w:tcPr>
          <w:p>
            <w:pPr>
              <w:pStyle w:val="126"/>
              <w:numPr>
                <w:ilvl w:val="0"/>
                <w:numId w:val="0"/>
              </w:numPr>
              <w:spacing w:after="0"/>
            </w:pPr>
            <w:r>
              <w:t>SCell dormancy indication</w:t>
            </w:r>
          </w:p>
        </w:tc>
        <w:tc>
          <w:tcPr>
            <w:tcW w:w="1637" w:type="dxa"/>
            <w:tcBorders>
              <w:top w:val="single" w:color="auto" w:sz="4" w:space="0"/>
              <w:left w:val="single" w:color="auto" w:sz="4" w:space="0"/>
              <w:bottom w:val="single" w:color="auto" w:sz="4" w:space="0"/>
              <w:right w:val="single" w:color="auto" w:sz="4" w:space="0"/>
            </w:tcBorders>
            <w:shd w:val="clear" w:color="auto" w:fill="FFD965" w:themeFill="accent4" w:themeFillTint="99"/>
          </w:tcPr>
          <w:p>
            <w:pPr>
              <w:pStyle w:val="126"/>
              <w:numPr>
                <w:ilvl w:val="0"/>
                <w:numId w:val="0"/>
              </w:numPr>
              <w:spacing w:after="0"/>
              <w:jc w:val="center"/>
            </w:pPr>
            <w:r>
              <w:t xml:space="preserve">0 - </w:t>
            </w:r>
            <w:r>
              <w:rPr>
                <w:rFonts w:hint="eastAsia"/>
              </w:rPr>
              <w:t>5</w:t>
            </w:r>
          </w:p>
        </w:tc>
        <w:tc>
          <w:tcPr>
            <w:tcW w:w="2287" w:type="dxa"/>
            <w:tcBorders>
              <w:top w:val="single" w:color="auto" w:sz="4" w:space="0"/>
              <w:left w:val="single" w:color="auto" w:sz="4" w:space="0"/>
              <w:bottom w:val="single" w:color="auto" w:sz="4" w:space="0"/>
              <w:right w:val="single" w:color="auto" w:sz="4" w:space="0"/>
            </w:tcBorders>
            <w:shd w:val="clear" w:color="auto" w:fill="F4B083" w:themeFill="accent2" w:themeFillTint="99"/>
          </w:tcPr>
          <w:p>
            <w:pPr>
              <w:pStyle w:val="126"/>
              <w:numPr>
                <w:ilvl w:val="0"/>
                <w:numId w:val="0"/>
              </w:numPr>
              <w:spacing w:after="0"/>
              <w:jc w:val="center"/>
            </w:pPr>
            <w:r>
              <w:rPr>
                <w:rFonts w:hint="eastAsia"/>
              </w:rPr>
              <w:t>S</w:t>
            </w:r>
            <w:r>
              <w:t>hare</w:t>
            </w:r>
            <w:r>
              <w:rPr>
                <w:rFonts w:hint="eastAsia"/>
              </w:rPr>
              <w:t>d</w:t>
            </w:r>
          </w:p>
        </w:tc>
      </w:tr>
    </w:tbl>
    <w:p>
      <w:pPr>
        <w:pStyle w:val="3"/>
      </w:pPr>
      <w:r>
        <w:rPr>
          <w:rFonts w:hint="eastAsia"/>
          <w:lang w:val="en-US"/>
        </w:rPr>
        <w:t>DCI format</w:t>
      </w:r>
    </w:p>
    <w:p>
      <w:r>
        <w:rPr>
          <w:rFonts w:hint="eastAsia"/>
        </w:rPr>
        <w:t xml:space="preserve">The single DCI with enhanced scheduling can be </w:t>
      </w:r>
      <w:r>
        <w:t>designed by using</w:t>
      </w:r>
      <w:r>
        <w:rPr>
          <w:rFonts w:hint="eastAsia"/>
        </w:rPr>
        <w:t xml:space="preserve"> DCI format 1_1/1_2 as a starting point. If the enhanced scheduling is enabled, then the format 1_1/1_2 with bigger size will be used for </w:t>
      </w:r>
      <w:r>
        <w:rPr>
          <w:rFonts w:ascii="New York" w:hAnsi="New York"/>
        </w:rPr>
        <w:t xml:space="preserve">scheduling PDSCH on </w:t>
      </w:r>
      <w:r>
        <w:rPr>
          <w:rFonts w:hint="eastAsia" w:ascii="New York" w:hAnsi="New York"/>
        </w:rPr>
        <w:t>up to two</w:t>
      </w:r>
      <w:r>
        <w:rPr>
          <w:rFonts w:ascii="New York" w:hAnsi="New York"/>
        </w:rPr>
        <w:t xml:space="preserve"> cells</w:t>
      </w:r>
      <w:r>
        <w:rPr>
          <w:rFonts w:hint="eastAsia" w:ascii="New York" w:hAnsi="New York"/>
        </w:rPr>
        <w:t xml:space="preserve">. </w:t>
      </w:r>
      <w:r>
        <w:rPr>
          <w:rFonts w:ascii="New York" w:hAnsi="New York"/>
        </w:rPr>
        <w:t xml:space="preserve">Note that scheduling PUSCH on two cells is out of the scope of this WI, then more padding bits are needed if size of DCI format 0_1/0_2 are required to align with the size of DCI format </w:t>
      </w:r>
      <w:r>
        <w:t xml:space="preserve">1_1/1_2 once DCI size budget is exceeded. Meanwhile, </w:t>
      </w:r>
      <w:r>
        <w:rPr>
          <w:rFonts w:ascii="New York" w:hAnsi="New York"/>
        </w:rPr>
        <w:t>scheduling PDSCH on two cells are not always needed, then dynamic fallback to single cell scheduling should be compatible</w:t>
      </w:r>
      <w:r>
        <w:t xml:space="preserve"> as well. </w:t>
      </w:r>
      <w:r>
        <w:rPr>
          <w:rFonts w:hint="eastAsia"/>
        </w:rPr>
        <w:t>In this case, the bigger DCI size keep the same between scheduling two carriers and scheduling one carrier to avoid additional blind decoding.</w:t>
      </w:r>
      <w:r>
        <w:t xml:space="preserve"> In other words, even if the DCI fallbacks to scheduling PDSCH</w:t>
      </w:r>
      <w:r>
        <w:rPr>
          <w:rFonts w:hint="eastAsia"/>
        </w:rPr>
        <w:t xml:space="preserve"> </w:t>
      </w:r>
      <w:r>
        <w:t xml:space="preserve">only on </w:t>
      </w:r>
      <w:r>
        <w:rPr>
          <w:rFonts w:hint="eastAsia"/>
        </w:rPr>
        <w:t>one cell</w:t>
      </w:r>
      <w:r>
        <w:t>, its DCI size has to be aligned with the bigger DCI size too.</w:t>
      </w:r>
    </w:p>
    <w:p>
      <w:r>
        <w:rPr>
          <w:rFonts w:hint="eastAsia"/>
        </w:rPr>
        <w:t>Alternatively, new DCI format</w:t>
      </w:r>
      <w:r>
        <w:t>,</w:t>
      </w:r>
      <w:r>
        <w:rPr>
          <w:rFonts w:hint="eastAsia"/>
        </w:rPr>
        <w:t xml:space="preserve"> </w:t>
      </w:r>
      <w:r>
        <w:t xml:space="preserve">e.g., </w:t>
      </w:r>
      <w:r>
        <w:rPr>
          <w:rFonts w:hint="eastAsia"/>
        </w:rPr>
        <w:t>format 1_3</w:t>
      </w:r>
      <w:r>
        <w:t>,</w:t>
      </w:r>
      <w:r>
        <w:rPr>
          <w:rFonts w:hint="eastAsia"/>
        </w:rPr>
        <w:t xml:space="preserve"> can be also considered. In this case, the new DCI format 1_3 is introduced only for </w:t>
      </w:r>
      <w:r>
        <w:rPr>
          <w:rFonts w:ascii="New York" w:hAnsi="New York"/>
        </w:rPr>
        <w:t xml:space="preserve">scheduling PDSCH on </w:t>
      </w:r>
      <w:r>
        <w:rPr>
          <w:rFonts w:hint="eastAsia" w:ascii="New York" w:hAnsi="New York"/>
        </w:rPr>
        <w:t>two</w:t>
      </w:r>
      <w:r>
        <w:rPr>
          <w:rFonts w:ascii="New York" w:hAnsi="New York"/>
        </w:rPr>
        <w:t xml:space="preserve"> cell</w:t>
      </w:r>
      <w:r>
        <w:rPr>
          <w:rFonts w:hint="eastAsia" w:ascii="New York" w:hAnsi="New York"/>
        </w:rPr>
        <w:t xml:space="preserve">s, and all the existing DCI formats are used for legacy scheduling. With this, dynamic fallback to single cell scheduling is not needed for the new DCI format 1_3. And UL grant corresponding to this new DL assignment is not needed too. But this will challenge the DCI size budget/alignment.   </w:t>
      </w:r>
    </w:p>
    <w:p>
      <w:pPr>
        <w:rPr>
          <w:i/>
          <w:iCs/>
        </w:rPr>
      </w:pPr>
      <w:r>
        <w:rPr>
          <w:rFonts w:hint="eastAsia"/>
          <w:b/>
          <w:bCs/>
          <w:i/>
          <w:iCs/>
        </w:rPr>
        <w:t>Observation 8:</w:t>
      </w:r>
      <w:r>
        <w:rPr>
          <w:rFonts w:hint="eastAsia"/>
          <w:i/>
          <w:iCs/>
        </w:rPr>
        <w:t xml:space="preserve"> </w:t>
      </w:r>
      <w:r>
        <w:rPr>
          <w:i/>
          <w:iCs/>
        </w:rPr>
        <w:t xml:space="preserve">If single DCI scheduling two PDSCHs on two carriers is supported, RAN1 needs to further study whether to </w:t>
      </w:r>
      <w:r>
        <w:rPr>
          <w:rFonts w:hint="eastAsia"/>
          <w:i/>
          <w:iCs/>
        </w:rPr>
        <w:t xml:space="preserve">reuse </w:t>
      </w:r>
      <w:r>
        <w:rPr>
          <w:i/>
          <w:iCs/>
        </w:rPr>
        <w:t xml:space="preserve">DCI format 1_1/1_2 or introduce a new DCI format for one-to-two scheduling. </w:t>
      </w:r>
    </w:p>
    <w:p>
      <w:pPr>
        <w:pStyle w:val="3"/>
      </w:pPr>
      <w:r>
        <w:rPr>
          <w:rFonts w:hint="eastAsia"/>
          <w:lang w:val="en-US"/>
        </w:rPr>
        <w:t>How to schedule the two cells</w:t>
      </w:r>
    </w:p>
    <w:p>
      <w:pPr>
        <w:rPr>
          <w:rFonts w:ascii="New York" w:hAnsi="New York"/>
        </w:rPr>
      </w:pPr>
      <w:r>
        <w:t>With the</w:t>
      </w:r>
      <w:r>
        <w:rPr>
          <w:rFonts w:hint="eastAsia"/>
        </w:rPr>
        <w:t xml:space="preserve"> current CA</w:t>
      </w:r>
      <w:r>
        <w:t xml:space="preserve"> mechanism</w:t>
      </w:r>
      <w:r>
        <w:rPr>
          <w:rFonts w:hint="eastAsia"/>
        </w:rPr>
        <w:t xml:space="preserve">, </w:t>
      </w:r>
      <w:r>
        <w:t xml:space="preserve">each CIF index corresponds to one scheduled cell. </w:t>
      </w:r>
      <w:r>
        <w:rPr>
          <w:rFonts w:hint="eastAsia"/>
        </w:rPr>
        <w:t xml:space="preserve">In case </w:t>
      </w:r>
      <w:r>
        <w:t xml:space="preserve">that </w:t>
      </w:r>
      <w:r>
        <w:rPr>
          <w:rFonts w:ascii="New York" w:hAnsi="New York"/>
        </w:rPr>
        <w:t xml:space="preserve">scheduling PDSCH on </w:t>
      </w:r>
      <w:r>
        <w:rPr>
          <w:rFonts w:hint="eastAsia" w:ascii="New York" w:hAnsi="New York"/>
        </w:rPr>
        <w:t>two</w:t>
      </w:r>
      <w:r>
        <w:rPr>
          <w:rFonts w:ascii="New York" w:hAnsi="New York"/>
        </w:rPr>
        <w:t xml:space="preserve"> cells</w:t>
      </w:r>
      <w:r>
        <w:rPr>
          <w:rFonts w:hint="eastAsia" w:ascii="New York" w:hAnsi="New York"/>
        </w:rPr>
        <w:t xml:space="preserve"> </w:t>
      </w:r>
      <w:r>
        <w:rPr>
          <w:rFonts w:ascii="New York" w:hAnsi="New York"/>
        </w:rPr>
        <w:t xml:space="preserve">via </w:t>
      </w:r>
      <w:r>
        <w:rPr>
          <w:rFonts w:hint="eastAsia" w:ascii="New York" w:hAnsi="New York"/>
        </w:rPr>
        <w:t xml:space="preserve">a single DCI is supported, how to </w:t>
      </w:r>
      <w:r>
        <w:rPr>
          <w:rFonts w:ascii="New York" w:hAnsi="New York"/>
        </w:rPr>
        <w:t xml:space="preserve">indicate </w:t>
      </w:r>
      <w:r>
        <w:rPr>
          <w:rFonts w:hint="eastAsia" w:ascii="New York" w:hAnsi="New York"/>
        </w:rPr>
        <w:t xml:space="preserve">the two </w:t>
      </w:r>
      <w:r>
        <w:rPr>
          <w:rFonts w:ascii="New York" w:hAnsi="New York"/>
        </w:rPr>
        <w:t xml:space="preserve">scheduled </w:t>
      </w:r>
      <w:r>
        <w:rPr>
          <w:rFonts w:hint="eastAsia" w:ascii="New York" w:hAnsi="New York"/>
        </w:rPr>
        <w:t xml:space="preserve">cells should be studied. </w:t>
      </w:r>
    </w:p>
    <w:p>
      <w:pPr>
        <w:rPr>
          <w:rFonts w:ascii="New York" w:hAnsi="New York"/>
        </w:rPr>
      </w:pPr>
      <w:r>
        <w:rPr>
          <w:rFonts w:hint="eastAsia" w:ascii="New York" w:hAnsi="New York"/>
        </w:rPr>
        <w:t xml:space="preserve">If dynamic combination of the two cells is supported, separated indication of CIF is needed. Since different cells may have different configurations, the size of this single DCI need to be determined according </w:t>
      </w:r>
      <w:r>
        <w:rPr>
          <w:rFonts w:ascii="New York" w:hAnsi="New York"/>
        </w:rPr>
        <w:t xml:space="preserve">the carrier combination with maximum DCI size. Another way is to consider predefined combination of the two scheduled cells. </w:t>
      </w:r>
      <w:r>
        <w:rPr>
          <w:rFonts w:hint="eastAsia" w:ascii="New York" w:hAnsi="New York"/>
        </w:rPr>
        <w:t>For</w:t>
      </w:r>
      <w:r>
        <w:rPr>
          <w:rFonts w:ascii="New York" w:hAnsi="New York"/>
        </w:rPr>
        <w:t xml:space="preserve"> example, cell corresponding to CIF=x and cell corresponding to CIF=0 are always bundled together. In this case, only one CIF field is sufficient.</w:t>
      </w:r>
    </w:p>
    <w:p>
      <w:pPr>
        <w:rPr>
          <w:rFonts w:ascii="New York" w:hAnsi="New York"/>
        </w:rPr>
      </w:pPr>
      <w:r>
        <w:rPr>
          <w:rFonts w:hint="eastAsia" w:ascii="New York" w:hAnsi="New York"/>
        </w:rPr>
        <w:t>If semi-static combination of the two cells is supported, then only one CIF indication is enough. While CIF configuration need</w:t>
      </w:r>
      <w:r>
        <w:rPr>
          <w:rFonts w:ascii="New York" w:hAnsi="New York"/>
        </w:rPr>
        <w:t>s</w:t>
      </w:r>
      <w:r>
        <w:rPr>
          <w:rFonts w:hint="eastAsia" w:ascii="New York" w:hAnsi="New York"/>
        </w:rPr>
        <w:t xml:space="preserve"> to be updated accordingly.</w:t>
      </w:r>
    </w:p>
    <w:p>
      <w:pPr>
        <w:rPr>
          <w:i/>
          <w:iCs/>
        </w:rPr>
      </w:pPr>
      <w:r>
        <w:rPr>
          <w:rFonts w:hint="eastAsia"/>
          <w:b/>
          <w:i/>
          <w:iCs/>
        </w:rPr>
        <w:t>O</w:t>
      </w:r>
      <w:r>
        <w:rPr>
          <w:b/>
          <w:i/>
          <w:iCs/>
        </w:rPr>
        <w:t xml:space="preserve">bservation </w:t>
      </w:r>
      <w:r>
        <w:rPr>
          <w:rFonts w:hint="eastAsia"/>
          <w:b/>
          <w:i/>
          <w:iCs/>
        </w:rPr>
        <w:t>9</w:t>
      </w:r>
      <w:r>
        <w:rPr>
          <w:i/>
          <w:iCs/>
        </w:rPr>
        <w:t>: If single DCI scheduling two PDSCHs on two carriers is supported, RAN1 needs to further study how to indicate the two scheduled carriers.</w:t>
      </w:r>
    </w:p>
    <w:p>
      <w:pPr>
        <w:pStyle w:val="3"/>
      </w:pPr>
      <w:r>
        <w:rPr>
          <w:rFonts w:hint="eastAsia"/>
          <w:lang w:val="en-US"/>
        </w:rPr>
        <w:t>Blind decoding issues</w:t>
      </w:r>
    </w:p>
    <w:p>
      <w:r>
        <w:rPr>
          <w:rFonts w:hint="eastAsia" w:ascii="New York" w:hAnsi="New York"/>
        </w:rPr>
        <w:t>Furthermore, for this single DCI with enhanced scheduling, t</w:t>
      </w:r>
      <w:r>
        <w:rPr>
          <w:rFonts w:ascii="New York" w:hAnsi="New York"/>
        </w:rPr>
        <w:t>he total PDCCH blind decoding budget should not be changed as a result of this work</w:t>
      </w:r>
      <w:r>
        <w:rPr>
          <w:rFonts w:hint="eastAsia" w:ascii="New York" w:hAnsi="New York"/>
        </w:rPr>
        <w:t xml:space="preserve">. </w:t>
      </w:r>
    </w:p>
    <w:p>
      <w:r>
        <w:t xml:space="preserve">In case additional DCI size </w:t>
      </w:r>
      <w:r>
        <w:rPr>
          <w:rFonts w:hint="eastAsia"/>
        </w:rPr>
        <w:t>is introduced based on the new DCI format,</w:t>
      </w:r>
      <w:r>
        <w:t xml:space="preserve"> e.g., DCI format</w:t>
      </w:r>
      <w:r>
        <w:rPr>
          <w:rFonts w:hint="eastAsia"/>
        </w:rPr>
        <w:t xml:space="preserve"> 1_3, the blind decoding number may be increased, but the total blind decoding number can be controlled to avoid beyond the BD budget by reasonable candidate configuration.</w:t>
      </w:r>
    </w:p>
    <w:p>
      <w:r>
        <w:rPr>
          <w:rFonts w:hint="eastAsia"/>
        </w:rPr>
        <w:t>Another issue is in which USS to blind decode the single DCI with enhanced scheduling. In current spec, USS on the scheduling cell for each scheduled cell is determined by CIF value. Then for this single DCI with enhanced scheduling, using the USS of one of the two cells or both cells should be determined. And it is better to determine after the issue of how to schedule the two cells is solved. Also the blind decoding budget should not be changed in case of additional search space introduced to blind decoding.</w:t>
      </w:r>
    </w:p>
    <w:p>
      <w:pPr>
        <w:rPr>
          <w:i/>
          <w:iCs/>
        </w:rPr>
      </w:pPr>
      <w:r>
        <w:rPr>
          <w:rFonts w:hint="eastAsia"/>
          <w:b/>
          <w:i/>
          <w:iCs/>
        </w:rPr>
        <w:t>O</w:t>
      </w:r>
      <w:r>
        <w:rPr>
          <w:b/>
          <w:i/>
          <w:iCs/>
        </w:rPr>
        <w:t xml:space="preserve">bservation </w:t>
      </w:r>
      <w:r>
        <w:rPr>
          <w:rFonts w:hint="eastAsia"/>
          <w:b/>
          <w:i/>
          <w:iCs/>
        </w:rPr>
        <w:t>10</w:t>
      </w:r>
      <w:r>
        <w:rPr>
          <w:i/>
          <w:iCs/>
        </w:rPr>
        <w:t>: If single DCI scheduling two PDSCHs on two carriers is supported, RAN1 needs to further study how to guarantee the current BD/CCE budget.</w:t>
      </w:r>
    </w:p>
    <w:p>
      <w:pPr>
        <w:pStyle w:val="3"/>
      </w:pPr>
      <w:r>
        <w:t>HARQ-ACK feedback</w:t>
      </w:r>
    </w:p>
    <w:p>
      <w:pPr>
        <w:rPr>
          <w:lang w:val="en-GB"/>
        </w:rPr>
      </w:pPr>
      <w:r>
        <w:rPr>
          <w:rFonts w:hint="eastAsia"/>
          <w:lang w:val="en-GB"/>
        </w:rPr>
        <w:t>A</w:t>
      </w:r>
      <w:r>
        <w:rPr>
          <w:lang w:val="en-GB"/>
        </w:rPr>
        <w:t>nother open issue is how to construct the HARQ-ACK codebook for one-to-two PDSCH scheduling and how to determine the PUCCH resource for the corresponding HARQ-ACK codebook.</w:t>
      </w:r>
    </w:p>
    <w:p>
      <w:pPr>
        <w:rPr>
          <w:lang w:val="en-GB"/>
        </w:rPr>
      </w:pPr>
      <w:r>
        <w:rPr>
          <w:lang w:val="en-GB"/>
        </w:rPr>
        <w:t>If all the related DCI fields are all separately indicated to the UE for each carrier, e.g., K1, PRI and TPC, the specification could be minimized. However, this would significantly increase the DCI size. Another approach is to adopt shared indication for the related DCI fields. Then, some further studies are needed to finalize the detailed mechanism.</w:t>
      </w:r>
    </w:p>
    <w:p>
      <w:pPr>
        <w:rPr>
          <w:i/>
          <w:iCs/>
        </w:rPr>
      </w:pPr>
      <w:r>
        <w:rPr>
          <w:rFonts w:hint="eastAsia"/>
          <w:b/>
          <w:i/>
          <w:iCs/>
        </w:rPr>
        <w:t>O</w:t>
      </w:r>
      <w:r>
        <w:rPr>
          <w:b/>
          <w:i/>
          <w:iCs/>
        </w:rPr>
        <w:t xml:space="preserve">bservation </w:t>
      </w:r>
      <w:r>
        <w:rPr>
          <w:rFonts w:hint="eastAsia"/>
          <w:b/>
          <w:i/>
          <w:iCs/>
        </w:rPr>
        <w:t>11</w:t>
      </w:r>
      <w:r>
        <w:rPr>
          <w:i/>
          <w:iCs/>
        </w:rPr>
        <w:t>: If single DCI scheduling two PDSCHs on two carriers is supported, RAN1 needs to further study how to perform the corresponding HARQ-ACK feedback.</w:t>
      </w:r>
    </w:p>
    <w:p>
      <w:pPr>
        <w:rPr>
          <w:i/>
          <w:iCs/>
        </w:rPr>
      </w:pPr>
    </w:p>
    <w:p>
      <w:pPr>
        <w:pStyle w:val="2"/>
      </w:pPr>
      <w:r>
        <w:rPr>
          <w:rFonts w:hint="eastAsia"/>
        </w:rPr>
        <w:t>S</w:t>
      </w:r>
      <w:r>
        <w:t>ummary</w:t>
      </w:r>
    </w:p>
    <w:p>
      <w:r>
        <w:rPr>
          <w:rFonts w:hint="eastAsia"/>
        </w:rPr>
        <w:t>B</w:t>
      </w:r>
      <w:r>
        <w:t xml:space="preserve">ased on our simulation results in Section 2.2, </w:t>
      </w:r>
      <w:r>
        <w:rPr>
          <w:rFonts w:hint="eastAsia"/>
        </w:rPr>
        <w:t>to ensure scheduling flexibility, most of the DCI fields are separately indicated for two carriers. However, this may end up with a marginal gain of PDCCH blocking rate. On the other hand, if most of the DCI fields are shared between two carriers, the PDCCH blocking rate is reduced while the average cell throughput is decreased by 8~14% due to the inappropriate DCI field settings for these two carriers. The more DCI fields shared between two carriers, the less gain of PDCCH blocking rate. The less DCI fields shared between two carriers, the higher system throughput performance loss.</w:t>
      </w:r>
    </w:p>
    <w:p>
      <w:pPr>
        <w:rPr>
          <w:i/>
        </w:rPr>
      </w:pPr>
      <w:r>
        <w:rPr>
          <w:b/>
          <w:i/>
        </w:rPr>
        <w:t xml:space="preserve">Observation </w:t>
      </w:r>
      <w:r>
        <w:rPr>
          <w:rFonts w:hint="eastAsia"/>
          <w:b/>
          <w:i/>
        </w:rPr>
        <w:t>12</w:t>
      </w:r>
      <w:r>
        <w:rPr>
          <w:i/>
        </w:rPr>
        <w:t xml:space="preserve">: For </w:t>
      </w:r>
      <w:r>
        <w:rPr>
          <w:rFonts w:hint="eastAsia"/>
          <w:i/>
        </w:rPr>
        <w:t xml:space="preserve">one-to-two </w:t>
      </w:r>
      <w:r>
        <w:rPr>
          <w:i/>
        </w:rPr>
        <w:t xml:space="preserve">downlink </w:t>
      </w:r>
      <w:r>
        <w:rPr>
          <w:rFonts w:hint="eastAsia"/>
          <w:i/>
        </w:rPr>
        <w:t>scheduling</w:t>
      </w:r>
      <w:r>
        <w:rPr>
          <w:i/>
        </w:rPr>
        <w:t xml:space="preserve"> </w:t>
      </w:r>
      <w:r>
        <w:rPr>
          <w:rFonts w:hint="eastAsia"/>
          <w:i/>
        </w:rPr>
        <w:t xml:space="preserve">in </w:t>
      </w:r>
      <w:r>
        <w:rPr>
          <w:i/>
        </w:rPr>
        <w:t xml:space="preserve">both inter-band CA and intra-band CA scenario, </w:t>
      </w:r>
    </w:p>
    <w:p>
      <w:pPr>
        <w:pStyle w:val="114"/>
        <w:numPr>
          <w:ilvl w:val="0"/>
          <w:numId w:val="10"/>
        </w:numPr>
        <w:snapToGrid w:val="0"/>
        <w:spacing w:before="120" w:beforeLines="50" w:afterLines="50"/>
        <w:rPr>
          <w:i/>
        </w:rPr>
      </w:pPr>
      <w:r>
        <w:rPr>
          <w:i/>
        </w:rPr>
        <w:t>If most of the fields are separately indicated for one-to-two scheduling DCI, the gain of PDCCH blocking rate is marginal.</w:t>
      </w:r>
    </w:p>
    <w:p>
      <w:pPr>
        <w:pStyle w:val="114"/>
        <w:numPr>
          <w:ilvl w:val="0"/>
          <w:numId w:val="10"/>
        </w:numPr>
        <w:snapToGrid w:val="0"/>
        <w:spacing w:before="120" w:beforeLines="50" w:afterLines="50"/>
        <w:rPr>
          <w:i/>
        </w:rPr>
      </w:pPr>
      <w:r>
        <w:rPr>
          <w:i/>
        </w:rPr>
        <w:t>If most of the fields are shared for one-to-two scheduling DCI, throughput performance loss is observed.</w:t>
      </w:r>
    </w:p>
    <w:p>
      <w:pPr>
        <w:pStyle w:val="114"/>
        <w:numPr>
          <w:ilvl w:val="0"/>
          <w:numId w:val="0"/>
        </w:numPr>
        <w:snapToGrid w:val="0"/>
        <w:spacing w:before="120" w:beforeLines="50" w:afterLines="50"/>
        <w:rPr>
          <w:rFonts w:hint="eastAsia" w:eastAsia="宋体"/>
          <w:szCs w:val="20"/>
          <w:lang w:val="en-US" w:eastAsia="zh-CN"/>
        </w:rPr>
      </w:pPr>
      <w:r>
        <w:rPr>
          <w:rFonts w:eastAsia="宋体"/>
          <w:szCs w:val="20"/>
          <w:lang w:val="en-US"/>
        </w:rPr>
        <w:t xml:space="preserve">According to the simulation results in </w:t>
      </w:r>
      <w:r>
        <w:rPr>
          <w:rFonts w:hint="eastAsia" w:eastAsia="宋体"/>
          <w:szCs w:val="20"/>
          <w:lang w:val="en-US"/>
        </w:rPr>
        <w:t>[4]</w:t>
      </w:r>
      <w:r>
        <w:rPr>
          <w:rFonts w:eastAsia="宋体"/>
          <w:szCs w:val="20"/>
          <w:lang w:val="en-US"/>
        </w:rPr>
        <w:t xml:space="preserve">, bidirectional one-to-two scheduling can </w:t>
      </w:r>
      <w:r>
        <w:rPr>
          <w:rFonts w:hint="eastAsia" w:eastAsia="宋体"/>
          <w:szCs w:val="20"/>
          <w:lang w:val="en-US" w:eastAsia="zh-CN"/>
        </w:rPr>
        <w:t>further reduce</w:t>
      </w:r>
      <w:r>
        <w:rPr>
          <w:rFonts w:eastAsia="宋体"/>
          <w:szCs w:val="20"/>
          <w:lang w:val="en-US"/>
        </w:rPr>
        <w:t xml:space="preserve"> the PDCCH blocking rate. Bec</w:t>
      </w:r>
      <w:r>
        <w:rPr>
          <w:rFonts w:hint="eastAsia" w:eastAsia="宋体"/>
          <w:szCs w:val="20"/>
          <w:lang w:val="en-US"/>
        </w:rPr>
        <w:t>a</w:t>
      </w:r>
      <w:r>
        <w:rPr>
          <w:rFonts w:eastAsia="宋体"/>
          <w:szCs w:val="20"/>
          <w:lang w:val="en-US"/>
        </w:rPr>
        <w:t xml:space="preserve">use uplink and downlink services may coexist for the same UE in the actual network, and both enabling uplink and downlink one-to-two scheduling can </w:t>
      </w:r>
      <w:r>
        <w:rPr>
          <w:rFonts w:hint="eastAsia" w:eastAsia="宋体"/>
          <w:szCs w:val="20"/>
          <w:lang w:val="en-US" w:eastAsia="zh-CN"/>
        </w:rPr>
        <w:t>improve</w:t>
      </w:r>
      <w:r>
        <w:rPr>
          <w:rFonts w:eastAsia="宋体"/>
          <w:szCs w:val="20"/>
          <w:lang w:val="en-US"/>
        </w:rPr>
        <w:t xml:space="preserve"> the </w:t>
      </w:r>
      <w:r>
        <w:rPr>
          <w:rFonts w:hint="eastAsia" w:eastAsia="宋体"/>
          <w:szCs w:val="20"/>
          <w:lang w:val="en-US" w:eastAsia="zh-CN"/>
        </w:rPr>
        <w:t>utilization of search space</w:t>
      </w:r>
      <w:r>
        <w:rPr>
          <w:rFonts w:eastAsia="宋体"/>
          <w:szCs w:val="20"/>
          <w:lang w:val="en-US"/>
        </w:rPr>
        <w:t>. In addition, in some scenarios where the gain of one-to-two scheduling is limited, increasing the number of scheduled cells can further reduce the overall DCI size and obtain higher gains of PDCCH blocking rate.</w:t>
      </w:r>
      <w:r>
        <w:rPr>
          <w:rFonts w:hint="eastAsia" w:eastAsia="宋体"/>
          <w:szCs w:val="20"/>
          <w:lang w:val="en-US" w:eastAsia="zh-CN"/>
        </w:rPr>
        <w:t xml:space="preserve"> </w:t>
      </w:r>
    </w:p>
    <w:p>
      <w:pPr>
        <w:pStyle w:val="114"/>
        <w:numPr>
          <w:ilvl w:val="0"/>
          <w:numId w:val="0"/>
        </w:numPr>
        <w:snapToGrid w:val="0"/>
        <w:spacing w:before="120" w:beforeLines="50" w:afterLines="50"/>
        <w:rPr>
          <w:rFonts w:hint="default" w:eastAsia="宋体"/>
          <w:szCs w:val="20"/>
          <w:lang w:val="en-US" w:eastAsia="zh-CN"/>
        </w:rPr>
      </w:pPr>
      <w:r>
        <w:rPr>
          <w:rFonts w:hint="eastAsia" w:eastAsia="宋体"/>
          <w:szCs w:val="20"/>
          <w:lang w:val="en-US" w:eastAsia="zh-CN"/>
        </w:rPr>
        <w:t>Besides the simulation results, multi-cell scheduling for uplink should be supported together with multi-cell scheduling for downlink. Firstly, there are actual scenarios with UL heavy transmission as analyzed in section 3.1. Secondly, since the size of DCI used to schedule multi-cell is larger than legacy DCI size, it is better to specify UL grant with multi-cell scheduling to avoid size alignment between DL assignment with multi-cell scheduling and UL grant with single-cell scheduling.</w:t>
      </w:r>
    </w:p>
    <w:p>
      <w:pPr>
        <w:pStyle w:val="114"/>
        <w:numPr>
          <w:ilvl w:val="0"/>
          <w:numId w:val="0"/>
        </w:numPr>
        <w:snapToGrid w:val="0"/>
        <w:spacing w:before="120" w:beforeLines="50" w:afterLines="50"/>
        <w:rPr>
          <w:rFonts w:eastAsia="宋体"/>
          <w:szCs w:val="20"/>
          <w:lang w:val="en-US"/>
        </w:rPr>
      </w:pPr>
      <w:r>
        <w:rPr>
          <w:rFonts w:eastAsia="宋体"/>
          <w:szCs w:val="20"/>
          <w:lang w:val="en-US"/>
        </w:rPr>
        <w:t xml:space="preserve">Based on the above analysis, if we are going to specify multi-cell scheduling, we propose to directly specify a generic mechanism for both uplink and downlink scheduling for 2 or more cells. </w:t>
      </w:r>
    </w:p>
    <w:p>
      <w:pPr>
        <w:pStyle w:val="114"/>
        <w:numPr>
          <w:ilvl w:val="0"/>
          <w:numId w:val="0"/>
        </w:numPr>
        <w:snapToGrid w:val="0"/>
        <w:spacing w:before="120" w:beforeLines="50" w:afterLines="50"/>
        <w:rPr>
          <w:rFonts w:eastAsia="宋体"/>
          <w:i/>
          <w:szCs w:val="20"/>
          <w:lang w:val="en-US"/>
        </w:rPr>
      </w:pPr>
      <w:r>
        <w:rPr>
          <w:rFonts w:eastAsia="宋体"/>
          <w:b/>
          <w:i/>
          <w:szCs w:val="20"/>
          <w:lang w:val="en-US"/>
        </w:rPr>
        <w:t>Proposal 1</w:t>
      </w:r>
      <w:r>
        <w:rPr>
          <w:rFonts w:eastAsia="宋体"/>
          <w:i/>
          <w:szCs w:val="20"/>
          <w:lang w:val="en-US"/>
        </w:rPr>
        <w:t>: If RAN1 is to specify multi-cell scheduling, RAN1 specifies a generic mechanism for both uplink and downlink scheduling for 2 or more cells.</w:t>
      </w:r>
    </w:p>
    <w:p>
      <w:pPr>
        <w:rPr>
          <w:lang w:val="en-GB"/>
        </w:rPr>
      </w:pPr>
    </w:p>
    <w:p>
      <w:pPr>
        <w:pStyle w:val="2"/>
      </w:pPr>
      <w:r>
        <w:rPr>
          <w:rFonts w:hint="eastAsia"/>
        </w:rPr>
        <w:t>C</w:t>
      </w:r>
      <w:r>
        <w:t>onclusion</w:t>
      </w:r>
    </w:p>
    <w:p>
      <w:pPr>
        <w:rPr>
          <w:lang w:val="en-GB"/>
        </w:rPr>
      </w:pPr>
      <w:r>
        <w:rPr>
          <w:rFonts w:hint="eastAsia"/>
          <w:lang w:val="en-GB"/>
        </w:rPr>
        <w:t>I</w:t>
      </w:r>
      <w:r>
        <w:rPr>
          <w:lang w:val="en-GB"/>
        </w:rPr>
        <w:t xml:space="preserve">n this contribution, analysis on the necessity, gain, open issues and possibility of timely completion of single DCI scheduling two PDSCHs on two carriers are presented with the following observations and proposals. </w:t>
      </w:r>
    </w:p>
    <w:p>
      <w:pPr>
        <w:spacing w:after="120" w:afterLines="50" w:line="276" w:lineRule="auto"/>
        <w:rPr>
          <w:b/>
          <w:i/>
        </w:rPr>
      </w:pPr>
    </w:p>
    <w:p>
      <w:pPr>
        <w:spacing w:after="120" w:afterLines="50" w:line="276" w:lineRule="auto"/>
        <w:rPr>
          <w:b/>
          <w:u w:val="single"/>
        </w:rPr>
      </w:pPr>
      <w:r>
        <w:rPr>
          <w:b/>
          <w:u w:val="single"/>
        </w:rPr>
        <w:t>Simulation Results and Analysis</w:t>
      </w:r>
    </w:p>
    <w:p>
      <w:pPr>
        <w:snapToGrid w:val="0"/>
        <w:spacing w:before="120" w:beforeLines="50" w:after="120" w:afterLines="50"/>
        <w:rPr>
          <w:i/>
        </w:rPr>
      </w:pPr>
      <w:r>
        <w:rPr>
          <w:rFonts w:hint="eastAsia"/>
          <w:b/>
          <w:i/>
        </w:rPr>
        <w:t>O</w:t>
      </w:r>
      <w:r>
        <w:rPr>
          <w:b/>
          <w:i/>
        </w:rPr>
        <w:t>bservation</w:t>
      </w:r>
      <w:r>
        <w:rPr>
          <w:rFonts w:hint="eastAsia"/>
          <w:b/>
          <w:i/>
        </w:rPr>
        <w:t xml:space="preserve"> </w:t>
      </w:r>
      <w:r>
        <w:rPr>
          <w:b/>
          <w:i/>
        </w:rPr>
        <w:t>1</w:t>
      </w:r>
      <w:r>
        <w:rPr>
          <w:i/>
        </w:rPr>
        <w:t xml:space="preserve">: For inter-band CA case, </w:t>
      </w:r>
    </w:p>
    <w:p>
      <w:pPr>
        <w:pStyle w:val="114"/>
        <w:numPr>
          <w:ilvl w:val="0"/>
          <w:numId w:val="10"/>
        </w:numPr>
        <w:snapToGrid w:val="0"/>
        <w:spacing w:before="120" w:beforeLines="50" w:afterLines="50"/>
        <w:rPr>
          <w:i/>
        </w:rPr>
      </w:pPr>
      <w:r>
        <w:rPr>
          <w:i/>
        </w:rPr>
        <w:t xml:space="preserve">In case </w:t>
      </w:r>
      <w:r>
        <w:rPr>
          <w:rFonts w:eastAsiaTheme="minorEastAsia"/>
          <w:i/>
          <w:lang w:val="en-US"/>
        </w:rPr>
        <w:t>of</w:t>
      </w:r>
      <w:r>
        <w:rPr>
          <w:i/>
          <w:lang w:val="en-US"/>
        </w:rPr>
        <w:t xml:space="preserve"> 7</w:t>
      </w:r>
      <w:r>
        <w:rPr>
          <w:rFonts w:hint="eastAsia"/>
          <w:i/>
          <w:lang w:val="en-US"/>
        </w:rPr>
        <w:t>00M and 4G,</w:t>
      </w:r>
      <w:r>
        <w:rPr>
          <w:i/>
        </w:rPr>
        <w:t xml:space="preserve"> the average gain of PDCCH blocking rate for DCI size 72 bits, 84 bits 96 bits and 108 bits of the one-to-two scheduling DCI is about 5.7%, 4.0%, 1.4% and 0.6%, respectively. </w:t>
      </w:r>
    </w:p>
    <w:p>
      <w:pPr>
        <w:pStyle w:val="114"/>
        <w:numPr>
          <w:ilvl w:val="0"/>
          <w:numId w:val="10"/>
        </w:numPr>
        <w:snapToGrid w:val="0"/>
        <w:spacing w:before="120" w:beforeLines="50" w:afterLines="50"/>
        <w:rPr>
          <w:i/>
        </w:rPr>
      </w:pPr>
      <w:r>
        <w:rPr>
          <w:i/>
        </w:rPr>
        <w:t xml:space="preserve">In case </w:t>
      </w:r>
      <w:r>
        <w:rPr>
          <w:i/>
          <w:lang w:val="en-US"/>
        </w:rPr>
        <w:t>of</w:t>
      </w:r>
      <w:r>
        <w:rPr>
          <w:rFonts w:hint="eastAsia"/>
          <w:i/>
          <w:lang w:val="en-US"/>
        </w:rPr>
        <w:t xml:space="preserve"> 700M and 2G,</w:t>
      </w:r>
      <w:r>
        <w:rPr>
          <w:i/>
        </w:rPr>
        <w:t xml:space="preserve"> </w:t>
      </w:r>
      <w:r>
        <w:rPr>
          <w:rFonts w:hint="eastAsia"/>
          <w:i/>
        </w:rPr>
        <w:t xml:space="preserve">the average gain of PDCCH blocking rate for DCI size 72 bits, 84 bits 96 bits and 108 bits of the one-to-two scheduling DCI is about </w:t>
      </w:r>
      <w:r>
        <w:rPr>
          <w:rFonts w:hint="eastAsia"/>
          <w:i/>
          <w:lang w:val="en-US"/>
        </w:rPr>
        <w:t>11</w:t>
      </w:r>
      <w:r>
        <w:rPr>
          <w:rFonts w:hint="eastAsia"/>
          <w:i/>
        </w:rPr>
        <w:t>.</w:t>
      </w:r>
      <w:r>
        <w:rPr>
          <w:rFonts w:hint="eastAsia"/>
          <w:i/>
          <w:lang w:val="en-US"/>
        </w:rPr>
        <w:t>1</w:t>
      </w:r>
      <w:r>
        <w:rPr>
          <w:rFonts w:hint="eastAsia"/>
          <w:i/>
        </w:rPr>
        <w:t xml:space="preserve">%, </w:t>
      </w:r>
      <w:r>
        <w:rPr>
          <w:rFonts w:hint="eastAsia"/>
          <w:i/>
          <w:lang w:val="en-US"/>
        </w:rPr>
        <w:t>9</w:t>
      </w:r>
      <w:r>
        <w:rPr>
          <w:rFonts w:hint="eastAsia"/>
          <w:i/>
        </w:rPr>
        <w:t>.</w:t>
      </w:r>
      <w:r>
        <w:rPr>
          <w:rFonts w:hint="eastAsia"/>
          <w:i/>
          <w:lang w:val="en-US"/>
        </w:rPr>
        <w:t>3</w:t>
      </w:r>
      <w:r>
        <w:rPr>
          <w:rFonts w:hint="eastAsia"/>
          <w:i/>
        </w:rPr>
        <w:t xml:space="preserve">%, </w:t>
      </w:r>
      <w:r>
        <w:rPr>
          <w:rFonts w:hint="eastAsia"/>
          <w:i/>
          <w:lang w:val="en-US"/>
        </w:rPr>
        <w:t>6</w:t>
      </w:r>
      <w:r>
        <w:rPr>
          <w:rFonts w:hint="eastAsia"/>
          <w:i/>
        </w:rPr>
        <w:t>.</w:t>
      </w:r>
      <w:r>
        <w:rPr>
          <w:rFonts w:hint="eastAsia"/>
          <w:i/>
          <w:lang w:val="en-US"/>
        </w:rPr>
        <w:t>1</w:t>
      </w:r>
      <w:r>
        <w:rPr>
          <w:rFonts w:hint="eastAsia"/>
          <w:i/>
        </w:rPr>
        <w:t xml:space="preserve">% and </w:t>
      </w:r>
      <w:r>
        <w:rPr>
          <w:rFonts w:hint="eastAsia"/>
          <w:i/>
          <w:lang w:val="en-US"/>
        </w:rPr>
        <w:t>4</w:t>
      </w:r>
      <w:r>
        <w:rPr>
          <w:rFonts w:hint="eastAsia"/>
          <w:i/>
        </w:rPr>
        <w:t>.</w:t>
      </w:r>
      <w:r>
        <w:rPr>
          <w:rFonts w:hint="eastAsia"/>
          <w:i/>
          <w:lang w:val="en-US"/>
        </w:rPr>
        <w:t>8</w:t>
      </w:r>
      <w:r>
        <w:rPr>
          <w:rFonts w:hint="eastAsia"/>
          <w:i/>
        </w:rPr>
        <w:t>%, respectively.</w:t>
      </w:r>
      <w:r>
        <w:rPr>
          <w:i/>
        </w:rPr>
        <w:t xml:space="preserve"> </w:t>
      </w:r>
    </w:p>
    <w:p>
      <w:pPr>
        <w:snapToGrid w:val="0"/>
        <w:spacing w:before="120" w:beforeLines="50" w:after="120" w:afterLines="50"/>
        <w:rPr>
          <w:i/>
        </w:rPr>
      </w:pPr>
      <w:r>
        <w:rPr>
          <w:b/>
          <w:i/>
        </w:rPr>
        <w:t>Observation</w:t>
      </w:r>
      <w:r>
        <w:rPr>
          <w:rFonts w:hint="eastAsia"/>
          <w:b/>
          <w:i/>
        </w:rPr>
        <w:t xml:space="preserve"> </w:t>
      </w:r>
      <w:r>
        <w:rPr>
          <w:b/>
          <w:i/>
        </w:rPr>
        <w:t>2</w:t>
      </w:r>
      <w:r>
        <w:rPr>
          <w:i/>
        </w:rPr>
        <w:t xml:space="preserve">: </w:t>
      </w:r>
    </w:p>
    <w:p>
      <w:pPr>
        <w:snapToGrid w:val="0"/>
        <w:spacing w:before="120" w:beforeLines="50" w:after="120" w:afterLines="50"/>
        <w:rPr>
          <w:i/>
        </w:rPr>
      </w:pPr>
      <w:r>
        <w:rPr>
          <w:i/>
        </w:rPr>
        <w:t>For inter-band (700MHz + 4GHz) CA case,</w:t>
      </w:r>
    </w:p>
    <w:p>
      <w:pPr>
        <w:pStyle w:val="114"/>
        <w:numPr>
          <w:ilvl w:val="0"/>
          <w:numId w:val="10"/>
        </w:numPr>
        <w:snapToGrid w:val="0"/>
        <w:spacing w:before="120" w:beforeLines="50" w:afterLines="50"/>
        <w:rPr>
          <w:i/>
        </w:rPr>
      </w:pPr>
      <w:r>
        <w:rPr>
          <w:i/>
        </w:rPr>
        <w:t>In case of 108</w:t>
      </w:r>
      <w:r>
        <w:rPr>
          <w:rFonts w:hint="eastAsia"/>
          <w:i/>
          <w:lang w:val="en-US"/>
        </w:rPr>
        <w:t xml:space="preserve"> </w:t>
      </w:r>
      <w:r>
        <w:rPr>
          <w:i/>
        </w:rPr>
        <w:t xml:space="preserve">bits of one-to-two scheduling DCI, the throughput is similar as the baseline. </w:t>
      </w:r>
    </w:p>
    <w:p>
      <w:pPr>
        <w:pStyle w:val="114"/>
        <w:numPr>
          <w:ilvl w:val="0"/>
          <w:numId w:val="10"/>
        </w:numPr>
        <w:snapToGrid w:val="0"/>
        <w:spacing w:before="120" w:beforeLines="50" w:afterLines="50"/>
        <w:rPr>
          <w:i/>
        </w:rPr>
      </w:pPr>
      <w:r>
        <w:rPr>
          <w:i/>
        </w:rPr>
        <w:t>In case of 8</w:t>
      </w:r>
      <w:r>
        <w:rPr>
          <w:rFonts w:hint="eastAsia"/>
          <w:i/>
        </w:rPr>
        <w:t>4</w:t>
      </w:r>
      <w:r>
        <w:rPr>
          <w:rFonts w:hint="eastAsia"/>
          <w:i/>
          <w:lang w:val="en-US"/>
        </w:rPr>
        <w:t xml:space="preserve"> </w:t>
      </w:r>
      <w:r>
        <w:rPr>
          <w:i/>
        </w:rPr>
        <w:t xml:space="preserve">bits of one-to-two scheduling DCI, the throughput is reduced by </w:t>
      </w:r>
      <w:r>
        <w:rPr>
          <w:rFonts w:hint="eastAsia"/>
          <w:i/>
          <w:lang w:val="en-US"/>
        </w:rPr>
        <w:t>13.4</w:t>
      </w:r>
      <w:r>
        <w:rPr>
          <w:i/>
        </w:rPr>
        <w:t>% compared with the baseline.</w:t>
      </w:r>
    </w:p>
    <w:p>
      <w:pPr>
        <w:snapToGrid w:val="0"/>
        <w:spacing w:before="120" w:beforeLines="50" w:after="120" w:afterLines="50"/>
        <w:rPr>
          <w:i/>
        </w:rPr>
      </w:pPr>
      <w:r>
        <w:rPr>
          <w:i/>
        </w:rPr>
        <w:t xml:space="preserve">For inter-band (700MHz + </w:t>
      </w:r>
      <w:r>
        <w:rPr>
          <w:rFonts w:hint="eastAsia"/>
          <w:i/>
        </w:rPr>
        <w:t>2</w:t>
      </w:r>
      <w:r>
        <w:rPr>
          <w:i/>
        </w:rPr>
        <w:t>GHz) CA case,</w:t>
      </w:r>
    </w:p>
    <w:p>
      <w:pPr>
        <w:pStyle w:val="114"/>
        <w:numPr>
          <w:ilvl w:val="0"/>
          <w:numId w:val="10"/>
        </w:numPr>
        <w:snapToGrid w:val="0"/>
        <w:spacing w:before="120" w:beforeLines="50" w:afterLines="50"/>
        <w:rPr>
          <w:i/>
        </w:rPr>
      </w:pPr>
      <w:r>
        <w:rPr>
          <w:i/>
        </w:rPr>
        <w:t>In case of 108</w:t>
      </w:r>
      <w:r>
        <w:rPr>
          <w:rFonts w:hint="eastAsia"/>
          <w:i/>
          <w:lang w:val="en-US"/>
        </w:rPr>
        <w:t xml:space="preserve"> </w:t>
      </w:r>
      <w:r>
        <w:rPr>
          <w:i/>
        </w:rPr>
        <w:t xml:space="preserve">bits of one-to-two scheduling DCI, the throughput is similar as the baseline. </w:t>
      </w:r>
    </w:p>
    <w:p>
      <w:pPr>
        <w:pStyle w:val="114"/>
        <w:numPr>
          <w:ilvl w:val="0"/>
          <w:numId w:val="10"/>
        </w:numPr>
        <w:snapToGrid w:val="0"/>
        <w:spacing w:before="120" w:beforeLines="50" w:afterLines="50"/>
        <w:rPr>
          <w:i/>
        </w:rPr>
      </w:pPr>
      <w:r>
        <w:rPr>
          <w:i/>
        </w:rPr>
        <w:t>In case of 8</w:t>
      </w:r>
      <w:r>
        <w:rPr>
          <w:rFonts w:hint="eastAsia"/>
          <w:i/>
        </w:rPr>
        <w:t>4</w:t>
      </w:r>
      <w:r>
        <w:rPr>
          <w:rFonts w:hint="eastAsia"/>
          <w:i/>
          <w:lang w:val="en-US"/>
        </w:rPr>
        <w:t xml:space="preserve"> </w:t>
      </w:r>
      <w:r>
        <w:rPr>
          <w:i/>
        </w:rPr>
        <w:t xml:space="preserve">bits of one-to-two scheduling DCI, the throughput is reduced by </w:t>
      </w:r>
      <w:r>
        <w:rPr>
          <w:rFonts w:hint="eastAsia"/>
          <w:i/>
          <w:lang w:val="en-US"/>
        </w:rPr>
        <w:t>9.9</w:t>
      </w:r>
      <w:r>
        <w:rPr>
          <w:i/>
        </w:rPr>
        <w:t>% compared with the baseline.</w:t>
      </w:r>
    </w:p>
    <w:p>
      <w:pPr>
        <w:snapToGrid w:val="0"/>
        <w:spacing w:before="120" w:beforeLines="50" w:after="120" w:afterLines="50"/>
        <w:rPr>
          <w:b/>
          <w:i/>
        </w:rPr>
      </w:pPr>
    </w:p>
    <w:p>
      <w:pPr>
        <w:snapToGrid w:val="0"/>
        <w:spacing w:before="120" w:beforeLines="50" w:after="120" w:afterLines="50"/>
        <w:rPr>
          <w:i/>
        </w:rPr>
      </w:pPr>
      <w:r>
        <w:rPr>
          <w:rFonts w:hint="eastAsia"/>
          <w:b/>
          <w:i/>
        </w:rPr>
        <w:t>O</w:t>
      </w:r>
      <w:r>
        <w:rPr>
          <w:b/>
          <w:i/>
        </w:rPr>
        <w:t>bservation</w:t>
      </w:r>
      <w:r>
        <w:rPr>
          <w:rFonts w:hint="eastAsia"/>
          <w:b/>
          <w:i/>
        </w:rPr>
        <w:t xml:space="preserve"> </w:t>
      </w:r>
      <w:r>
        <w:rPr>
          <w:b/>
          <w:i/>
        </w:rPr>
        <w:t>3</w:t>
      </w:r>
      <w:r>
        <w:rPr>
          <w:i/>
        </w:rPr>
        <w:t xml:space="preserve">: For intra-band (2GHz) CA case, the average gain of PDCCH blocking rate for DCI size 72b its, 84 bits, 96 bits and 108 bits of the one-to-two scheduling DCI is about </w:t>
      </w:r>
      <w:r>
        <w:rPr>
          <w:rFonts w:hint="eastAsia"/>
          <w:i/>
        </w:rPr>
        <w:t>9</w:t>
      </w:r>
      <w:r>
        <w:rPr>
          <w:i/>
        </w:rPr>
        <w:t>.</w:t>
      </w:r>
      <w:r>
        <w:rPr>
          <w:rFonts w:hint="eastAsia"/>
          <w:i/>
        </w:rPr>
        <w:t>5</w:t>
      </w:r>
      <w:r>
        <w:rPr>
          <w:i/>
        </w:rPr>
        <w:t xml:space="preserve">%, </w:t>
      </w:r>
      <w:r>
        <w:rPr>
          <w:rFonts w:hint="eastAsia"/>
          <w:i/>
        </w:rPr>
        <w:t>7</w:t>
      </w:r>
      <w:r>
        <w:rPr>
          <w:i/>
        </w:rPr>
        <w:t>.</w:t>
      </w:r>
      <w:r>
        <w:rPr>
          <w:rFonts w:hint="eastAsia"/>
          <w:i/>
        </w:rPr>
        <w:t>5</w:t>
      </w:r>
      <w:r>
        <w:rPr>
          <w:i/>
        </w:rPr>
        <w:t xml:space="preserve">%, 5.6% and </w:t>
      </w:r>
      <w:r>
        <w:rPr>
          <w:rFonts w:hint="eastAsia"/>
          <w:i/>
        </w:rPr>
        <w:t>4.6</w:t>
      </w:r>
      <w:r>
        <w:rPr>
          <w:i/>
        </w:rPr>
        <w:t>%, respectively.</w:t>
      </w:r>
    </w:p>
    <w:p>
      <w:pPr>
        <w:snapToGrid w:val="0"/>
        <w:spacing w:before="120" w:beforeLines="50" w:after="120" w:afterLines="50"/>
        <w:rPr>
          <w:i/>
        </w:rPr>
      </w:pPr>
      <w:r>
        <w:rPr>
          <w:b/>
          <w:i/>
        </w:rPr>
        <w:t>Observation</w:t>
      </w:r>
      <w:r>
        <w:rPr>
          <w:rFonts w:hint="eastAsia"/>
          <w:b/>
          <w:i/>
        </w:rPr>
        <w:t xml:space="preserve"> </w:t>
      </w:r>
      <w:r>
        <w:rPr>
          <w:b/>
          <w:i/>
        </w:rPr>
        <w:t>4</w:t>
      </w:r>
      <w:r>
        <w:rPr>
          <w:i/>
        </w:rPr>
        <w:t>: For intra-band (2GHz) CA case,</w:t>
      </w:r>
    </w:p>
    <w:p>
      <w:pPr>
        <w:pStyle w:val="114"/>
        <w:numPr>
          <w:ilvl w:val="0"/>
          <w:numId w:val="10"/>
        </w:numPr>
        <w:snapToGrid w:val="0"/>
        <w:spacing w:before="120" w:beforeLines="50" w:afterLines="50"/>
        <w:rPr>
          <w:i/>
        </w:rPr>
      </w:pPr>
      <w:r>
        <w:rPr>
          <w:i/>
        </w:rPr>
        <w:t xml:space="preserve">In case of 108 bits of one-to-two scheduling DCI, the throughput is similar as the baseline. </w:t>
      </w:r>
    </w:p>
    <w:p>
      <w:pPr>
        <w:pStyle w:val="114"/>
        <w:numPr>
          <w:ilvl w:val="0"/>
          <w:numId w:val="10"/>
        </w:numPr>
        <w:snapToGrid w:val="0"/>
        <w:spacing w:before="120" w:beforeLines="50" w:afterLines="50"/>
        <w:rPr>
          <w:i/>
        </w:rPr>
      </w:pPr>
      <w:r>
        <w:rPr>
          <w:i/>
        </w:rPr>
        <w:t xml:space="preserve">In case of 84 bits of one-to-two scheduling DCI, the throughput is reduced by </w:t>
      </w:r>
      <w:r>
        <w:rPr>
          <w:rFonts w:hint="eastAsia"/>
          <w:i/>
          <w:lang w:val="en-US"/>
        </w:rPr>
        <w:t>8.7</w:t>
      </w:r>
      <w:r>
        <w:rPr>
          <w:i/>
        </w:rPr>
        <w:t>% compared with the baseline.</w:t>
      </w:r>
    </w:p>
    <w:p>
      <w:pPr>
        <w:snapToGrid w:val="0"/>
        <w:spacing w:before="120" w:beforeLines="50" w:after="120" w:afterLines="50"/>
        <w:rPr>
          <w:i/>
        </w:rPr>
      </w:pPr>
      <w:r>
        <w:rPr>
          <w:rFonts w:hint="eastAsia"/>
          <w:b/>
          <w:i/>
        </w:rPr>
        <w:t>O</w:t>
      </w:r>
      <w:r>
        <w:rPr>
          <w:b/>
          <w:i/>
        </w:rPr>
        <w:t>bservation</w:t>
      </w:r>
      <w:r>
        <w:rPr>
          <w:rFonts w:hint="eastAsia"/>
          <w:b/>
          <w:i/>
        </w:rPr>
        <w:t xml:space="preserve"> 5</w:t>
      </w:r>
      <w:r>
        <w:rPr>
          <w:i/>
        </w:rPr>
        <w:t xml:space="preserve">: The potential gain of PDCCH blocking rate for one-to-two </w:t>
      </w:r>
      <w:r>
        <w:rPr>
          <w:b/>
          <w:i/>
        </w:rPr>
        <w:t>uplink</w:t>
      </w:r>
      <w:r>
        <w:rPr>
          <w:i/>
        </w:rPr>
        <w:t xml:space="preserve"> scheduling is the same as that for one-to-two </w:t>
      </w:r>
      <w:r>
        <w:rPr>
          <w:b/>
          <w:i/>
        </w:rPr>
        <w:t>downlink</w:t>
      </w:r>
      <w:r>
        <w:rPr>
          <w:i/>
        </w:rPr>
        <w:t xml:space="preserve"> scheduling. </w:t>
      </w:r>
    </w:p>
    <w:p>
      <w:pPr>
        <w:snapToGrid w:val="0"/>
        <w:spacing w:before="120" w:beforeLines="50" w:after="120" w:afterLines="50"/>
        <w:rPr>
          <w:i/>
        </w:rPr>
      </w:pPr>
    </w:p>
    <w:p>
      <w:pPr>
        <w:spacing w:before="120" w:beforeLines="50"/>
        <w:rPr>
          <w:b/>
          <w:iCs/>
          <w:u w:val="single"/>
        </w:rPr>
      </w:pPr>
      <w:r>
        <w:rPr>
          <w:b/>
          <w:iCs/>
          <w:u w:val="single"/>
        </w:rPr>
        <w:t>Open issues</w:t>
      </w:r>
    </w:p>
    <w:p>
      <w:r>
        <w:rPr>
          <w:rFonts w:hint="eastAsia"/>
          <w:b/>
          <w:i/>
          <w:iCs/>
        </w:rPr>
        <w:t>O</w:t>
      </w:r>
      <w:r>
        <w:rPr>
          <w:b/>
          <w:i/>
          <w:iCs/>
        </w:rPr>
        <w:t xml:space="preserve">bservation </w:t>
      </w:r>
      <w:r>
        <w:rPr>
          <w:rFonts w:hint="eastAsia"/>
          <w:b/>
          <w:i/>
          <w:iCs/>
        </w:rPr>
        <w:t>6</w:t>
      </w:r>
      <w:r>
        <w:rPr>
          <w:i/>
          <w:iCs/>
        </w:rPr>
        <w:t>: If single DCI scheduling two PDSCHs on two carriers is supported, RAN1 needs to discuss whether to adopt shared indication or separate indication for each DCI field.</w:t>
      </w:r>
    </w:p>
    <w:p>
      <w:pPr>
        <w:rPr>
          <w:i/>
          <w:iCs/>
        </w:rPr>
      </w:pPr>
      <w:r>
        <w:rPr>
          <w:rFonts w:hint="eastAsia"/>
          <w:b/>
          <w:i/>
          <w:iCs/>
        </w:rPr>
        <w:t>O</w:t>
      </w:r>
      <w:r>
        <w:rPr>
          <w:b/>
          <w:i/>
          <w:iCs/>
        </w:rPr>
        <w:t xml:space="preserve">bservation </w:t>
      </w:r>
      <w:r>
        <w:rPr>
          <w:rFonts w:hint="eastAsia"/>
          <w:b/>
          <w:i/>
          <w:iCs/>
        </w:rPr>
        <w:t>7</w:t>
      </w:r>
      <w:r>
        <w:rPr>
          <w:i/>
          <w:iCs/>
        </w:rPr>
        <w:t xml:space="preserve">: If single DCI scheduling two PDSCHs on two carriers is supported, RAN1 needs to further study how to handle the Rel-16 newly introduced DCI fields in DCI format 1_1. </w:t>
      </w:r>
    </w:p>
    <w:p>
      <w:pPr>
        <w:rPr>
          <w:i/>
          <w:iCs/>
        </w:rPr>
      </w:pPr>
      <w:r>
        <w:rPr>
          <w:rFonts w:hint="eastAsia"/>
          <w:b/>
          <w:bCs/>
          <w:i/>
          <w:iCs/>
        </w:rPr>
        <w:t>Observation 8:</w:t>
      </w:r>
      <w:r>
        <w:rPr>
          <w:rFonts w:hint="eastAsia"/>
          <w:i/>
          <w:iCs/>
        </w:rPr>
        <w:t xml:space="preserve"> </w:t>
      </w:r>
      <w:r>
        <w:rPr>
          <w:i/>
          <w:iCs/>
        </w:rPr>
        <w:t xml:space="preserve">If single DCI scheduling two PDSCHs on two carriers is supported, RAN1 needs to further study whether to </w:t>
      </w:r>
      <w:r>
        <w:rPr>
          <w:rFonts w:hint="eastAsia"/>
          <w:i/>
          <w:iCs/>
        </w:rPr>
        <w:t xml:space="preserve">reuse </w:t>
      </w:r>
      <w:r>
        <w:rPr>
          <w:i/>
          <w:iCs/>
        </w:rPr>
        <w:t xml:space="preserve">DCI format 1_1/1_2 or introduce a new DCI format for one-to-two scheduling. </w:t>
      </w:r>
    </w:p>
    <w:p>
      <w:pPr>
        <w:rPr>
          <w:i/>
          <w:iCs/>
        </w:rPr>
      </w:pPr>
      <w:r>
        <w:rPr>
          <w:rFonts w:hint="eastAsia"/>
          <w:b/>
          <w:i/>
          <w:iCs/>
        </w:rPr>
        <w:t>O</w:t>
      </w:r>
      <w:r>
        <w:rPr>
          <w:b/>
          <w:i/>
          <w:iCs/>
        </w:rPr>
        <w:t xml:space="preserve">bservation </w:t>
      </w:r>
      <w:r>
        <w:rPr>
          <w:rFonts w:hint="eastAsia"/>
          <w:b/>
          <w:i/>
          <w:iCs/>
        </w:rPr>
        <w:t>9</w:t>
      </w:r>
      <w:r>
        <w:rPr>
          <w:i/>
          <w:iCs/>
        </w:rPr>
        <w:t>: If single DCI scheduling two PDSCHs on two carriers is supported, RAN1 needs to further study how to indicate the two scheduled carriers.</w:t>
      </w:r>
    </w:p>
    <w:p>
      <w:pPr>
        <w:rPr>
          <w:i/>
          <w:iCs/>
        </w:rPr>
      </w:pPr>
      <w:r>
        <w:rPr>
          <w:rFonts w:hint="eastAsia"/>
          <w:b/>
          <w:i/>
          <w:iCs/>
        </w:rPr>
        <w:t>O</w:t>
      </w:r>
      <w:r>
        <w:rPr>
          <w:b/>
          <w:i/>
          <w:iCs/>
        </w:rPr>
        <w:t xml:space="preserve">bservation </w:t>
      </w:r>
      <w:r>
        <w:rPr>
          <w:rFonts w:hint="eastAsia"/>
          <w:b/>
          <w:i/>
          <w:iCs/>
        </w:rPr>
        <w:t>10</w:t>
      </w:r>
      <w:r>
        <w:rPr>
          <w:i/>
          <w:iCs/>
        </w:rPr>
        <w:t>: If single DCI scheduling two PDSCHs on two carriers is supported, RAN1 needs to further study how to guarantee the current BD/CCE budget.</w:t>
      </w:r>
    </w:p>
    <w:p>
      <w:pPr>
        <w:rPr>
          <w:i/>
          <w:iCs/>
        </w:rPr>
      </w:pPr>
      <w:r>
        <w:rPr>
          <w:rFonts w:hint="eastAsia"/>
          <w:b/>
          <w:i/>
          <w:iCs/>
        </w:rPr>
        <w:t>O</w:t>
      </w:r>
      <w:r>
        <w:rPr>
          <w:b/>
          <w:i/>
          <w:iCs/>
        </w:rPr>
        <w:t xml:space="preserve">bservation </w:t>
      </w:r>
      <w:r>
        <w:rPr>
          <w:rFonts w:hint="eastAsia"/>
          <w:b/>
          <w:i/>
          <w:iCs/>
        </w:rPr>
        <w:t>11</w:t>
      </w:r>
      <w:r>
        <w:rPr>
          <w:i/>
          <w:iCs/>
        </w:rPr>
        <w:t>: If single DCI scheduling two PDSCHs on two carriers is supported, RAN1 needs to further study how to perform the corresponding HARQ-ACK feedback.</w:t>
      </w:r>
    </w:p>
    <w:p>
      <w:pPr>
        <w:rPr>
          <w:b/>
          <w:i/>
        </w:rPr>
      </w:pPr>
    </w:p>
    <w:p>
      <w:pPr>
        <w:rPr>
          <w:b/>
          <w:u w:val="single"/>
        </w:rPr>
      </w:pPr>
      <w:r>
        <w:rPr>
          <w:b/>
          <w:u w:val="single"/>
        </w:rPr>
        <w:t>Summary</w:t>
      </w:r>
    </w:p>
    <w:p>
      <w:pPr>
        <w:rPr>
          <w:i/>
        </w:rPr>
      </w:pPr>
      <w:r>
        <w:rPr>
          <w:b/>
          <w:i/>
        </w:rPr>
        <w:t xml:space="preserve">Observation </w:t>
      </w:r>
      <w:r>
        <w:rPr>
          <w:rFonts w:hint="eastAsia"/>
          <w:b/>
          <w:i/>
        </w:rPr>
        <w:t>12</w:t>
      </w:r>
      <w:r>
        <w:rPr>
          <w:i/>
        </w:rPr>
        <w:t xml:space="preserve">: For </w:t>
      </w:r>
      <w:r>
        <w:rPr>
          <w:rFonts w:hint="eastAsia"/>
          <w:i/>
        </w:rPr>
        <w:t xml:space="preserve">one-to-two </w:t>
      </w:r>
      <w:r>
        <w:rPr>
          <w:i/>
        </w:rPr>
        <w:t xml:space="preserve">downlink </w:t>
      </w:r>
      <w:r>
        <w:rPr>
          <w:rFonts w:hint="eastAsia"/>
          <w:i/>
        </w:rPr>
        <w:t>scheduling</w:t>
      </w:r>
      <w:r>
        <w:rPr>
          <w:i/>
        </w:rPr>
        <w:t xml:space="preserve"> </w:t>
      </w:r>
      <w:r>
        <w:rPr>
          <w:rFonts w:hint="eastAsia"/>
          <w:i/>
        </w:rPr>
        <w:t xml:space="preserve">in </w:t>
      </w:r>
      <w:r>
        <w:rPr>
          <w:i/>
        </w:rPr>
        <w:t xml:space="preserve">both inter-band CA and intra-band CA scenario, </w:t>
      </w:r>
    </w:p>
    <w:p>
      <w:pPr>
        <w:pStyle w:val="114"/>
        <w:numPr>
          <w:ilvl w:val="0"/>
          <w:numId w:val="10"/>
        </w:numPr>
        <w:snapToGrid w:val="0"/>
        <w:spacing w:before="120" w:beforeLines="50" w:afterLines="50"/>
        <w:rPr>
          <w:i/>
        </w:rPr>
      </w:pPr>
      <w:r>
        <w:rPr>
          <w:i/>
        </w:rPr>
        <w:t>If most of the fields are separately indicated for one-to-two scheduling DCI, the gain of PDCCH blocking rate is marginal.</w:t>
      </w:r>
    </w:p>
    <w:p>
      <w:pPr>
        <w:pStyle w:val="114"/>
        <w:numPr>
          <w:ilvl w:val="0"/>
          <w:numId w:val="10"/>
        </w:numPr>
        <w:snapToGrid w:val="0"/>
        <w:spacing w:before="120" w:beforeLines="50" w:afterLines="50"/>
        <w:rPr>
          <w:i/>
        </w:rPr>
      </w:pPr>
      <w:r>
        <w:rPr>
          <w:i/>
        </w:rPr>
        <w:t>If most of the fields are shared for one-to-two scheduling DCI, throughput performance loss is observed.</w:t>
      </w:r>
    </w:p>
    <w:p>
      <w:pPr>
        <w:pStyle w:val="114"/>
        <w:numPr>
          <w:ilvl w:val="0"/>
          <w:numId w:val="0"/>
        </w:numPr>
        <w:snapToGrid w:val="0"/>
        <w:spacing w:before="120" w:beforeLines="50" w:afterLines="50"/>
        <w:rPr>
          <w:rFonts w:eastAsia="宋体"/>
          <w:i/>
          <w:szCs w:val="20"/>
          <w:lang w:val="en-US"/>
        </w:rPr>
      </w:pPr>
      <w:r>
        <w:rPr>
          <w:rFonts w:eastAsia="宋体"/>
          <w:b/>
          <w:i/>
          <w:szCs w:val="20"/>
          <w:lang w:val="en-US"/>
        </w:rPr>
        <w:t>Proposal 1</w:t>
      </w:r>
      <w:r>
        <w:rPr>
          <w:rFonts w:eastAsia="宋体"/>
          <w:i/>
          <w:szCs w:val="20"/>
          <w:lang w:val="en-US"/>
        </w:rPr>
        <w:t>: If RAN1 is to specify multi-cell scheduling, RAN1 specifies a generic mechanism for both uplink and downlink scheduling for 2 or more cells.</w:t>
      </w:r>
    </w:p>
    <w:p>
      <w:pPr>
        <w:pStyle w:val="114"/>
        <w:numPr>
          <w:ilvl w:val="0"/>
          <w:numId w:val="0"/>
        </w:numPr>
        <w:snapToGrid w:val="0"/>
        <w:spacing w:before="120" w:beforeLines="50" w:afterLines="50"/>
        <w:rPr>
          <w:rFonts w:eastAsia="宋体"/>
          <w:i/>
          <w:szCs w:val="20"/>
          <w:lang w:val="en-US"/>
        </w:rPr>
      </w:pPr>
    </w:p>
    <w:p>
      <w:pPr>
        <w:pStyle w:val="2"/>
      </w:pPr>
      <w:r>
        <w:rPr>
          <w:rFonts w:hint="eastAsia"/>
        </w:rPr>
        <w:t>R</w:t>
      </w:r>
      <w:r>
        <w:t>eference</w:t>
      </w:r>
    </w:p>
    <w:p>
      <w:pPr>
        <w:pStyle w:val="126"/>
      </w:pPr>
      <w:r>
        <w:rPr>
          <w:lang w:val="en-GB"/>
        </w:rPr>
        <w:t>RP-193260, New WID on NR Dynamic spectrum sharing (DSS), RAN</w:t>
      </w:r>
      <w:r>
        <w:rPr>
          <w:rFonts w:hint="eastAsia"/>
        </w:rPr>
        <w:t xml:space="preserve"> </w:t>
      </w:r>
      <w:r>
        <w:rPr>
          <w:lang w:val="en-GB"/>
        </w:rPr>
        <w:t>#86.</w:t>
      </w:r>
    </w:p>
    <w:p>
      <w:pPr>
        <w:pStyle w:val="126"/>
      </w:pPr>
      <w:r>
        <w:rPr>
          <w:rFonts w:hint="eastAsia"/>
        </w:rPr>
        <w:t>RAN1 #103e meeting, chairman notes.</w:t>
      </w:r>
    </w:p>
    <w:p>
      <w:pPr>
        <w:pStyle w:val="126"/>
      </w:pPr>
      <w:r>
        <w:t>R1-2102138, Feature lead summary #4 on multi-cell scheduling via a single DCI, RAN1</w:t>
      </w:r>
      <w:r>
        <w:rPr>
          <w:rFonts w:hint="eastAsia" w:eastAsia="宋体"/>
          <w:lang w:val="en-US" w:eastAsia="zh-CN"/>
        </w:rPr>
        <w:t xml:space="preserve"> </w:t>
      </w:r>
      <w:r>
        <w:t>#104-e, Moderator (Lenovo).</w:t>
      </w:r>
    </w:p>
    <w:p>
      <w:pPr>
        <w:pStyle w:val="126"/>
      </w:pPr>
      <w:r>
        <w:rPr>
          <w:rFonts w:hint="eastAsia"/>
        </w:rPr>
        <w:t>R1-2104577, Further analysis and simulation for Multi-cell scheduling for both downlink and uplink, RAN1</w:t>
      </w:r>
      <w:r>
        <w:rPr>
          <w:rFonts w:hint="eastAsia" w:eastAsia="宋体"/>
          <w:lang w:val="en-US" w:eastAsia="zh-CN"/>
        </w:rPr>
        <w:t xml:space="preserve"> </w:t>
      </w:r>
      <w:r>
        <w:rPr>
          <w:rFonts w:hint="eastAsia"/>
        </w:rPr>
        <w:t>#105-e, ZTE.</w:t>
      </w:r>
    </w:p>
    <w:p>
      <w:pPr>
        <w:pStyle w:val="126"/>
        <w:numPr>
          <w:ilvl w:val="0"/>
          <w:numId w:val="0"/>
        </w:numPr>
      </w:pPr>
    </w:p>
    <w:p>
      <w:pPr>
        <w:pStyle w:val="2"/>
        <w:numPr>
          <w:ilvl w:val="0"/>
          <w:numId w:val="0"/>
        </w:numPr>
        <w:bidi w:val="0"/>
        <w:ind w:leftChars="0"/>
        <w:rPr>
          <w:lang w:val="en-US"/>
        </w:rPr>
      </w:pPr>
      <w:r>
        <w:rPr>
          <w:lang w:val="en-US"/>
        </w:rPr>
        <w:t xml:space="preserve">Appendix </w:t>
      </w:r>
      <w:r>
        <w:t>Simulation assumption</w:t>
      </w:r>
      <w:r>
        <w:rPr>
          <w:rFonts w:hint="eastAsia"/>
          <w:lang w:val="en-US"/>
        </w:rPr>
        <w:t>s</w:t>
      </w:r>
    </w:p>
    <w:p>
      <w:pPr>
        <w:pStyle w:val="3"/>
        <w:bidi w:val="0"/>
      </w:pPr>
      <w:r>
        <w:rPr>
          <w:rFonts w:hint="eastAsia"/>
          <w:lang w:val="en-US"/>
        </w:rPr>
        <w:t>LLS and SLS assumption</w:t>
      </w:r>
    </w:p>
    <w:p>
      <w:pPr>
        <w:jc w:val="center"/>
      </w:pPr>
      <w:r>
        <w:rPr>
          <w:rFonts w:hint="eastAsia"/>
        </w:rPr>
        <w:t>Table A-1 PDCCH blocking rate s</w:t>
      </w:r>
      <w:r>
        <w:t xml:space="preserve">imulation </w:t>
      </w:r>
      <w:r>
        <w:rPr>
          <w:rFonts w:hint="eastAsia"/>
        </w:rPr>
        <w:t>a</w:t>
      </w:r>
      <w:r>
        <w:t>ssumptions</w:t>
      </w:r>
    </w:p>
    <w:tbl>
      <w:tblPr>
        <w:tblStyle w:val="51"/>
        <w:tblW w:w="8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0"/>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70" w:type="dxa"/>
            <w:shd w:val="clear" w:color="auto" w:fill="BDD6EE" w:themeFill="accent1" w:themeFillTint="66"/>
          </w:tcPr>
          <w:p>
            <w:pPr>
              <w:snapToGrid w:val="0"/>
              <w:spacing w:before="120" w:line="280" w:lineRule="atLeast"/>
              <w:rPr>
                <w:b/>
                <w:bCs/>
              </w:rPr>
            </w:pPr>
            <w:r>
              <w:rPr>
                <w:b/>
                <w:bCs/>
              </w:rPr>
              <w:t>Parameters</w:t>
            </w:r>
          </w:p>
        </w:tc>
        <w:tc>
          <w:tcPr>
            <w:tcW w:w="4939" w:type="dxa"/>
            <w:shd w:val="clear" w:color="auto" w:fill="BDD6EE" w:themeFill="accent1" w:themeFillTint="66"/>
          </w:tcPr>
          <w:p>
            <w:pPr>
              <w:snapToGrid w:val="0"/>
              <w:spacing w:before="120" w:line="280" w:lineRule="atLeast"/>
              <w:rPr>
                <w:b/>
                <w:bCs/>
              </w:rPr>
            </w:pPr>
            <w:r>
              <w:rPr>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3470" w:type="dxa"/>
          </w:tcPr>
          <w:p>
            <w:pPr>
              <w:snapToGrid w:val="0"/>
              <w:spacing w:before="120" w:line="280" w:lineRule="atLeast"/>
            </w:pPr>
            <w:r>
              <w:t>DCI payload (excluding 24</w:t>
            </w:r>
            <w:r>
              <w:rPr>
                <w:rFonts w:hint="eastAsia"/>
              </w:rPr>
              <w:t xml:space="preserve"> </w:t>
            </w:r>
            <w:r>
              <w:t>bits CRC)</w:t>
            </w:r>
          </w:p>
        </w:tc>
        <w:tc>
          <w:tcPr>
            <w:tcW w:w="4939" w:type="dxa"/>
          </w:tcPr>
          <w:p>
            <w:pPr>
              <w:snapToGrid w:val="0"/>
              <w:spacing w:before="120" w:line="280" w:lineRule="atLeast"/>
            </w:pPr>
            <w:r>
              <w:t>Legacy DCI</w:t>
            </w:r>
            <w:r>
              <w:rPr>
                <w:rFonts w:hint="eastAsia"/>
              </w:rPr>
              <w:t xml:space="preserve">: 60 bits, </w:t>
            </w:r>
          </w:p>
          <w:p>
            <w:pPr>
              <w:snapToGrid w:val="0"/>
              <w:spacing w:before="120" w:line="280" w:lineRule="atLeast"/>
            </w:pPr>
            <w:r>
              <w:rPr>
                <w:rFonts w:hint="eastAsia"/>
              </w:rPr>
              <w:t>O</w:t>
            </w:r>
            <w:r>
              <w:t>ne-to-two scheduling DC</w:t>
            </w:r>
            <w:r>
              <w:rPr>
                <w:rFonts w:hint="eastAsia"/>
              </w:rPr>
              <w:t>I: 72, 84, 96 and 108 bits</w:t>
            </w:r>
          </w:p>
          <w:p>
            <w:pPr>
              <w:snapToGrid w:val="0"/>
              <w:spacing w:before="120" w:line="280" w:lineRule="atLeast"/>
            </w:pPr>
            <w:r>
              <w:rPr>
                <w:rFonts w:hint="eastAsia"/>
              </w:rPr>
              <w:t>O</w:t>
            </w:r>
            <w:r>
              <w:t>ne-to-t</w:t>
            </w:r>
            <w:r>
              <w:rPr>
                <w:rFonts w:hint="eastAsia"/>
              </w:rPr>
              <w:t>hree</w:t>
            </w:r>
            <w:r>
              <w:t xml:space="preserve"> scheduling DC</w:t>
            </w:r>
            <w:r>
              <w:rPr>
                <w:rFonts w:hint="eastAsia"/>
              </w:rPr>
              <w:t>I: 108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3470" w:type="dxa"/>
          </w:tcPr>
          <w:p>
            <w:pPr>
              <w:snapToGrid w:val="0"/>
              <w:spacing w:before="120" w:line="280" w:lineRule="atLeast"/>
            </w:pPr>
            <w:r>
              <w:t>System bandwidth</w:t>
            </w:r>
          </w:p>
        </w:tc>
        <w:tc>
          <w:tcPr>
            <w:tcW w:w="4939" w:type="dxa"/>
          </w:tcPr>
          <w:p>
            <w:pPr>
              <w:snapToGrid w:val="0"/>
              <w:spacing w:before="120" w:line="280" w:lineRule="atLeast"/>
            </w:pPr>
            <w:r>
              <w:t xml:space="preserve">PCell </w:t>
            </w:r>
            <w:r>
              <w:rPr>
                <w:rFonts w:hint="eastAsia"/>
              </w:rPr>
              <w:t>10/</w:t>
            </w:r>
            <w:r>
              <w:t>20MHz + SCell 20/</w:t>
            </w:r>
            <w:r>
              <w:rPr>
                <w:rFonts w:hint="eastAsia"/>
              </w:rPr>
              <w:t>10</w:t>
            </w:r>
            <w: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3470" w:type="dxa"/>
          </w:tcPr>
          <w:p>
            <w:pPr>
              <w:snapToGrid w:val="0"/>
              <w:spacing w:before="120" w:line="280" w:lineRule="atLeast"/>
            </w:pPr>
            <w:r>
              <w:t>Carrier Frequency</w:t>
            </w:r>
          </w:p>
        </w:tc>
        <w:tc>
          <w:tcPr>
            <w:tcW w:w="4939" w:type="dxa"/>
          </w:tcPr>
          <w:p>
            <w:pPr>
              <w:snapToGrid w:val="0"/>
              <w:spacing w:before="120" w:line="280" w:lineRule="atLeast"/>
            </w:pPr>
            <w:r>
              <w:t>Inter-band CA (700MHz + 4GHz)</w:t>
            </w:r>
          </w:p>
          <w:p>
            <w:pPr>
              <w:snapToGrid w:val="0"/>
              <w:spacing w:before="120" w:line="280" w:lineRule="atLeast"/>
            </w:pPr>
            <w:r>
              <w:t>Intra-band CA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3470" w:type="dxa"/>
          </w:tcPr>
          <w:p>
            <w:pPr>
              <w:snapToGrid w:val="0"/>
              <w:spacing w:before="120" w:line="280" w:lineRule="atLeast"/>
            </w:pPr>
            <w:r>
              <w:rPr>
                <w:rFonts w:hint="eastAsia"/>
              </w:rPr>
              <w:t>SCS</w:t>
            </w:r>
          </w:p>
        </w:tc>
        <w:tc>
          <w:tcPr>
            <w:tcW w:w="4939" w:type="dxa"/>
          </w:tcPr>
          <w:p>
            <w:pPr>
              <w:snapToGrid w:val="0"/>
              <w:spacing w:before="120" w:line="280" w:lineRule="atLeast"/>
            </w:pPr>
            <w:r>
              <w:rPr>
                <w:rFonts w:hint="eastAsia"/>
              </w:rPr>
              <w:t>15 kHz for 700MHz/2GHz</w:t>
            </w:r>
          </w:p>
          <w:p>
            <w:pPr>
              <w:snapToGrid w:val="0"/>
              <w:spacing w:before="120" w:line="280" w:lineRule="atLeast"/>
            </w:pPr>
            <w:r>
              <w:rPr>
                <w:rFonts w:hint="eastAsia"/>
              </w:rPr>
              <w:t>30 kHz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vAlign w:val="center"/>
          </w:tcPr>
          <w:p>
            <w:pPr>
              <w:snapToGrid w:val="0"/>
              <w:spacing w:before="120" w:line="280" w:lineRule="atLeast"/>
            </w:pPr>
            <w:r>
              <w:rPr>
                <w:rFonts w:hint="eastAsia"/>
              </w:rPr>
              <w:t>UE speed</w:t>
            </w:r>
          </w:p>
        </w:tc>
        <w:tc>
          <w:tcPr>
            <w:tcW w:w="4939" w:type="dxa"/>
            <w:vAlign w:val="center"/>
          </w:tcPr>
          <w:p>
            <w:pPr>
              <w:snapToGrid w:val="0"/>
              <w:spacing w:before="120" w:line="280" w:lineRule="atLeast"/>
            </w:pPr>
            <w:r>
              <w:rPr>
                <w:rFonts w:hint="eastAsia"/>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vAlign w:val="center"/>
          </w:tcPr>
          <w:p>
            <w:pPr>
              <w:snapToGrid w:val="0"/>
              <w:spacing w:before="120" w:line="280" w:lineRule="atLeast"/>
            </w:pPr>
            <w:r>
              <w:rPr>
                <w:rFonts w:hint="eastAsia"/>
              </w:rPr>
              <w:t>Number of UE antennas</w:t>
            </w:r>
          </w:p>
        </w:tc>
        <w:tc>
          <w:tcPr>
            <w:tcW w:w="4939" w:type="dxa"/>
            <w:vAlign w:val="center"/>
          </w:tcPr>
          <w:p>
            <w:pPr>
              <w:snapToGrid w:val="0"/>
              <w:spacing w:before="120" w:line="280" w:lineRule="atLeast"/>
            </w:pPr>
            <w:r>
              <w:rPr>
                <w:rFonts w:hint="eastAsia"/>
              </w:rPr>
              <w:t>2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t>Number of symbols for CORESET</w:t>
            </w:r>
          </w:p>
        </w:tc>
        <w:tc>
          <w:tcPr>
            <w:tcW w:w="4939" w:type="dxa"/>
          </w:tcPr>
          <w:p>
            <w:pPr>
              <w:snapToGrid w:val="0"/>
              <w:spacing w:before="120" w:line="280" w:lineRule="atLeast"/>
            </w:pPr>
            <w:r>
              <w:rPr>
                <w:rFonts w:hint="eastAsia"/>
              </w:rPr>
              <w:t>2 for 2GHz, 3 for 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t>Transmission type</w:t>
            </w:r>
          </w:p>
        </w:tc>
        <w:tc>
          <w:tcPr>
            <w:tcW w:w="4939" w:type="dxa"/>
          </w:tcPr>
          <w:p>
            <w:pPr>
              <w:snapToGrid w:val="0"/>
              <w:spacing w:before="120" w:line="280" w:lineRule="atLeast"/>
            </w:pPr>
            <w:r>
              <w:t>Interleaved</w:t>
            </w:r>
            <w:r>
              <w:rPr>
                <w:rFonts w:hint="eastAsia"/>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t>REG bundling size</w:t>
            </w:r>
          </w:p>
        </w:tc>
        <w:tc>
          <w:tcPr>
            <w:tcW w:w="4939" w:type="dxa"/>
          </w:tcPr>
          <w:p>
            <w:pPr>
              <w:snapToGrid w:val="0"/>
              <w:spacing w:before="120" w:line="280" w:lineRule="atLeast"/>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t xml:space="preserve">Modulation </w:t>
            </w:r>
          </w:p>
        </w:tc>
        <w:tc>
          <w:tcPr>
            <w:tcW w:w="4939" w:type="dxa"/>
          </w:tcPr>
          <w:p>
            <w:pPr>
              <w:snapToGrid w:val="0"/>
              <w:spacing w:before="120" w:line="280" w:lineRule="atLeast"/>
            </w:pPr>
            <w: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t>Channel coding</w:t>
            </w:r>
          </w:p>
        </w:tc>
        <w:tc>
          <w:tcPr>
            <w:tcW w:w="4939" w:type="dxa"/>
          </w:tcPr>
          <w:p>
            <w:pPr>
              <w:snapToGrid w:val="0"/>
              <w:spacing w:before="120" w:line="280" w:lineRule="atLeast"/>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t>Transmission scheme</w:t>
            </w:r>
          </w:p>
        </w:tc>
        <w:tc>
          <w:tcPr>
            <w:tcW w:w="4939" w:type="dxa"/>
          </w:tcPr>
          <w:p>
            <w:pPr>
              <w:snapToGrid w:val="0"/>
              <w:spacing w:before="120" w:line="280" w:lineRule="atLeast"/>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470" w:type="dxa"/>
          </w:tcPr>
          <w:p>
            <w:pPr>
              <w:snapToGrid w:val="0"/>
              <w:spacing w:before="120" w:line="280" w:lineRule="atLeast"/>
            </w:pPr>
            <w:r>
              <w:t>Channel model</w:t>
            </w:r>
          </w:p>
        </w:tc>
        <w:tc>
          <w:tcPr>
            <w:tcW w:w="4939" w:type="dxa"/>
          </w:tcPr>
          <w:p>
            <w:pPr>
              <w:snapToGrid w:val="0"/>
              <w:spacing w:before="120" w:line="280" w:lineRule="atLeast"/>
              <w:jc w:val="left"/>
            </w:pPr>
            <w:r>
              <w:t xml:space="preserve">TDL-C (delay spread: 300ns)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rPr>
                <w:rFonts w:hint="eastAsia"/>
                <w:lang w:eastAsia="ja-JP"/>
              </w:rPr>
              <w:t>Channel estimation</w:t>
            </w:r>
          </w:p>
        </w:tc>
        <w:tc>
          <w:tcPr>
            <w:tcW w:w="4939" w:type="dxa"/>
          </w:tcPr>
          <w:p>
            <w:pPr>
              <w:snapToGrid w:val="0"/>
              <w:spacing w:before="120" w:line="280" w:lineRule="atLeast"/>
            </w:pPr>
            <w:r>
              <w:rPr>
                <w:rFonts w:hint="eastAsia"/>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snapToGrid w:val="0"/>
              <w:spacing w:before="120" w:line="280" w:lineRule="atLeast"/>
            </w:pPr>
            <w:r>
              <w:rPr>
                <w:rFonts w:hint="eastAsia"/>
                <w:lang w:eastAsia="ja-JP"/>
              </w:rPr>
              <w:t>Receiver type</w:t>
            </w:r>
          </w:p>
        </w:tc>
        <w:tc>
          <w:tcPr>
            <w:tcW w:w="4939" w:type="dxa"/>
          </w:tcPr>
          <w:p>
            <w:pPr>
              <w:snapToGrid w:val="0"/>
              <w:spacing w:before="120" w:line="280" w:lineRule="atLeast"/>
            </w:pPr>
            <w:r>
              <w:rPr>
                <w:rFonts w:hint="eastAsia"/>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409" w:type="dxa"/>
            <w:gridSpan w:val="2"/>
          </w:tcPr>
          <w:p>
            <w:pPr>
              <w:snapToGrid w:val="0"/>
              <w:spacing w:before="120" w:line="280" w:lineRule="atLeast"/>
            </w:pPr>
            <w:r>
              <w:rPr>
                <w:rFonts w:hint="eastAsia"/>
              </w:rPr>
              <w:t xml:space="preserve">Note: CORESET size is 24 CCEs for 700M and 32 CCEs for 2G, and number of candidates for AL=1, 2, 4, 8, 16 CCEs are configured as 6, 4, 2, 2, 1. </w:t>
            </w:r>
          </w:p>
          <w:p>
            <w:pPr>
              <w:snapToGrid w:val="0"/>
              <w:spacing w:before="120" w:line="280" w:lineRule="atLeast"/>
            </w:pPr>
            <w:r>
              <w:t>Note: For two-cell scheduling via a single DCI, PDCCH transmitted on a first cell schedules one PDSCH on the first cell and another PDSCH on a second cell. For single-cell scheduling (baseline), one PDCCH transmitted on a first cell schedules one PDSCH on the first cell via self-scheduling and another PDCCH transmitted on the first cell schedules another PDSCH on a second cell via cross-carrier scheduling.</w:t>
            </w:r>
          </w:p>
        </w:tc>
      </w:tr>
    </w:tbl>
    <w:p>
      <w:pPr>
        <w:pStyle w:val="126"/>
        <w:numPr>
          <w:ilvl w:val="0"/>
          <w:numId w:val="0"/>
        </w:numPr>
      </w:pPr>
    </w:p>
    <w:p>
      <w:pPr>
        <w:jc w:val="center"/>
      </w:pPr>
      <w:r>
        <w:rPr>
          <w:rFonts w:hint="eastAsia"/>
        </w:rPr>
        <w:t>Table A-2 System level s</w:t>
      </w:r>
      <w:r>
        <w:t xml:space="preserve">imulation </w:t>
      </w:r>
      <w:r>
        <w:rPr>
          <w:rFonts w:hint="eastAsia"/>
        </w:rPr>
        <w:t>a</w:t>
      </w:r>
      <w:r>
        <w:t>ssumptions</w:t>
      </w:r>
    </w:p>
    <w:tbl>
      <w:tblPr>
        <w:tblStyle w:val="50"/>
        <w:tblW w:w="10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6"/>
        <w:gridCol w:w="2694"/>
        <w:gridCol w:w="2694"/>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r>
              <w:rPr>
                <w:b/>
                <w:bCs/>
              </w:rPr>
              <w:t>Parameters</w:t>
            </w:r>
          </w:p>
        </w:tc>
        <w:tc>
          <w:tcPr>
            <w:tcW w:w="5388" w:type="dxa"/>
            <w:gridSpan w:val="2"/>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r>
              <w:rPr>
                <w:b/>
                <w:bCs/>
              </w:rPr>
              <w:t>Value</w:t>
            </w:r>
          </w:p>
        </w:tc>
        <w:tc>
          <w:tcPr>
            <w:tcW w:w="2405"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rPr>
                <w:lang w:eastAsia="ja-JP"/>
              </w:rPr>
            </w:pPr>
            <w:r>
              <w:rPr>
                <w:lang w:eastAsia="ja-JP"/>
              </w:rPr>
              <w:t>Carrier frequency</w:t>
            </w:r>
          </w:p>
        </w:tc>
        <w:tc>
          <w:tcPr>
            <w:tcW w:w="2694" w:type="dxa"/>
            <w:tcBorders>
              <w:top w:val="single" w:color="auto" w:sz="4" w:space="0"/>
              <w:left w:val="single" w:color="auto" w:sz="4" w:space="0"/>
              <w:bottom w:val="single" w:color="auto" w:sz="4" w:space="0"/>
              <w:right w:val="single" w:color="auto" w:sz="4" w:space="0"/>
            </w:tcBorders>
          </w:tcPr>
          <w:p>
            <w:pPr>
              <w:snapToGrid w:val="0"/>
              <w:jc w:val="left"/>
            </w:pPr>
            <w:r>
              <w:t>700MHz</w:t>
            </w:r>
          </w:p>
        </w:tc>
        <w:tc>
          <w:tcPr>
            <w:tcW w:w="2694" w:type="dxa"/>
            <w:tcBorders>
              <w:top w:val="single" w:color="auto" w:sz="4" w:space="0"/>
              <w:left w:val="single" w:color="auto" w:sz="4" w:space="0"/>
              <w:bottom w:val="single" w:color="auto" w:sz="4" w:space="0"/>
              <w:right w:val="single" w:color="auto" w:sz="4" w:space="0"/>
            </w:tcBorders>
          </w:tcPr>
          <w:p>
            <w:pPr>
              <w:snapToGrid w:val="0"/>
              <w:jc w:val="left"/>
            </w:pPr>
            <w:r>
              <w:t>2 GHz</w:t>
            </w:r>
          </w:p>
        </w:tc>
        <w:tc>
          <w:tcPr>
            <w:tcW w:w="2405" w:type="dxa"/>
            <w:tcBorders>
              <w:top w:val="single" w:color="auto" w:sz="4" w:space="0"/>
              <w:left w:val="single" w:color="auto" w:sz="4" w:space="0"/>
              <w:bottom w:val="single" w:color="auto" w:sz="4" w:space="0"/>
              <w:right w:val="single" w:color="auto" w:sz="4" w:space="0"/>
            </w:tcBorders>
          </w:tcPr>
          <w:p>
            <w:pPr>
              <w:snapToGrid w:val="0"/>
              <w:jc w:val="left"/>
            </w:pPr>
            <w:r>
              <w:rPr>
                <w:rFonts w:hint="eastAsia"/>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rPr>
                <w:lang w:eastAsia="ja-JP"/>
              </w:rPr>
            </w:pPr>
            <w:r>
              <w:rPr>
                <w:lang w:eastAsia="ja-JP"/>
              </w:rPr>
              <w:t>BS antenna configurations</w:t>
            </w:r>
          </w:p>
        </w:tc>
        <w:tc>
          <w:tcPr>
            <w:tcW w:w="2694" w:type="dxa"/>
            <w:tcBorders>
              <w:top w:val="single" w:color="auto" w:sz="4" w:space="0"/>
              <w:left w:val="single" w:color="auto" w:sz="4" w:space="0"/>
              <w:bottom w:val="single" w:color="auto" w:sz="4" w:space="0"/>
              <w:right w:val="single" w:color="auto" w:sz="4" w:space="0"/>
            </w:tcBorders>
            <w:vAlign w:val="center"/>
          </w:tcPr>
          <w:p>
            <w:pPr>
              <w:snapToGrid w:val="0"/>
              <w:jc w:val="left"/>
            </w:pPr>
            <w:r>
              <w:t>2 Tx antenna ports:</w:t>
            </w:r>
          </w:p>
          <w:p>
            <w:pPr>
              <w:pStyle w:val="65"/>
              <w:keepNext w:val="0"/>
              <w:keepLines w:val="0"/>
              <w:snapToGrid w:val="0"/>
              <w:jc w:val="left"/>
              <w:rPr>
                <w:rFonts w:ascii="Times New Roman" w:hAnsi="Times New Roman"/>
                <w:sz w:val="20"/>
              </w:rPr>
            </w:pPr>
            <w:r>
              <w:rPr>
                <w:rFonts w:ascii="Times New Roman" w:hAnsi="Times New Roman"/>
              </w:rPr>
              <w:t>(M, N, P, Mg, Ng; Mp, Np) = (1, 2, 2, 1, 1; 1, 1)</w:t>
            </w:r>
          </w:p>
        </w:tc>
        <w:tc>
          <w:tcPr>
            <w:tcW w:w="2694" w:type="dxa"/>
            <w:tcBorders>
              <w:top w:val="single" w:color="auto" w:sz="4" w:space="0"/>
              <w:left w:val="single" w:color="auto" w:sz="4" w:space="0"/>
              <w:bottom w:val="single" w:color="auto" w:sz="4" w:space="0"/>
              <w:right w:val="single" w:color="auto" w:sz="4" w:space="0"/>
            </w:tcBorders>
            <w:vAlign w:val="center"/>
          </w:tcPr>
          <w:p>
            <w:pPr>
              <w:snapToGrid w:val="0"/>
              <w:jc w:val="left"/>
            </w:pPr>
            <w:r>
              <w:t>2 Tx antenna ports:</w:t>
            </w:r>
          </w:p>
          <w:p>
            <w:pPr>
              <w:pStyle w:val="65"/>
              <w:keepNext w:val="0"/>
              <w:keepLines w:val="0"/>
              <w:snapToGrid w:val="0"/>
              <w:jc w:val="left"/>
              <w:rPr>
                <w:rFonts w:ascii="Times New Roman" w:hAnsi="Times New Roman"/>
                <w:sz w:val="20"/>
              </w:rPr>
            </w:pPr>
            <w:r>
              <w:rPr>
                <w:rFonts w:ascii="Times New Roman" w:hAnsi="Times New Roman"/>
              </w:rPr>
              <w:t>(M, N, P, Mg, Ng; Mp, Np) = (</w:t>
            </w:r>
            <w:r>
              <w:rPr>
                <w:rFonts w:hint="eastAsia" w:ascii="Times New Roman" w:hAnsi="Times New Roman"/>
              </w:rPr>
              <w:t>2</w:t>
            </w:r>
            <w:r>
              <w:rPr>
                <w:rFonts w:ascii="Times New Roman" w:hAnsi="Times New Roman"/>
              </w:rPr>
              <w:t xml:space="preserve">, </w:t>
            </w:r>
            <w:r>
              <w:rPr>
                <w:rFonts w:hint="eastAsia" w:ascii="Times New Roman" w:hAnsi="Times New Roman"/>
              </w:rPr>
              <w:t>8</w:t>
            </w:r>
            <w:r>
              <w:rPr>
                <w:rFonts w:ascii="Times New Roman" w:hAnsi="Times New Roman"/>
              </w:rPr>
              <w:t>, 2, 1, 1; 1, 1)</w:t>
            </w:r>
          </w:p>
        </w:tc>
        <w:tc>
          <w:tcPr>
            <w:tcW w:w="2405" w:type="dxa"/>
            <w:tcBorders>
              <w:top w:val="single" w:color="auto" w:sz="4" w:space="0"/>
              <w:left w:val="single" w:color="auto" w:sz="4" w:space="0"/>
              <w:bottom w:val="single" w:color="auto" w:sz="4" w:space="0"/>
              <w:right w:val="single" w:color="auto" w:sz="4" w:space="0"/>
            </w:tcBorders>
            <w:vAlign w:val="center"/>
          </w:tcPr>
          <w:p>
            <w:pPr>
              <w:snapToGrid w:val="0"/>
              <w:jc w:val="left"/>
            </w:pPr>
            <w:r>
              <w:t>2 Tx antenna ports:</w:t>
            </w:r>
          </w:p>
          <w:p>
            <w:pPr>
              <w:pStyle w:val="65"/>
              <w:keepNext w:val="0"/>
              <w:keepLines w:val="0"/>
              <w:snapToGrid w:val="0"/>
              <w:jc w:val="left"/>
              <w:rPr>
                <w:rFonts w:ascii="Times New Roman" w:hAnsi="Times New Roman"/>
              </w:rPr>
            </w:pPr>
            <w:r>
              <w:rPr>
                <w:rFonts w:ascii="Times New Roman" w:hAnsi="Times New Roman"/>
              </w:rPr>
              <w:t>(M, N, P, Mg, Ng; Mp, Np) = (</w:t>
            </w:r>
            <w:r>
              <w:rPr>
                <w:rFonts w:hint="eastAsia" w:ascii="Times New Roman" w:hAnsi="Times New Roman"/>
              </w:rPr>
              <w:t>8</w:t>
            </w:r>
            <w:r>
              <w:rPr>
                <w:rFonts w:ascii="Times New Roman" w:hAnsi="Times New Roman"/>
              </w:rPr>
              <w:t xml:space="preserve">, </w:t>
            </w:r>
            <w:r>
              <w:rPr>
                <w:rFonts w:hint="eastAsia" w:ascii="Times New Roman" w:hAnsi="Times New Roman"/>
              </w:rPr>
              <w:t>4</w:t>
            </w:r>
            <w:r>
              <w:rPr>
                <w:rFonts w:ascii="Times New Roman" w:hAnsi="Times New Roman"/>
              </w:rPr>
              <w:t>, 2,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t>UE</w:t>
            </w:r>
            <w:r>
              <w:rPr>
                <w:lang w:eastAsia="ja-JP"/>
              </w:rPr>
              <w:t xml:space="preserve"> antenna configuration</w:t>
            </w:r>
          </w:p>
        </w:tc>
        <w:tc>
          <w:tcPr>
            <w:tcW w:w="2694" w:type="dxa"/>
            <w:tcBorders>
              <w:top w:val="single" w:color="auto" w:sz="4" w:space="0"/>
              <w:left w:val="single" w:color="auto" w:sz="4" w:space="0"/>
              <w:bottom w:val="single" w:color="auto" w:sz="4" w:space="0"/>
              <w:right w:val="single" w:color="auto" w:sz="4" w:space="0"/>
            </w:tcBorders>
            <w:vAlign w:val="center"/>
          </w:tcPr>
          <w:p>
            <w:pPr>
              <w:pStyle w:val="32"/>
              <w:snapToGrid w:val="0"/>
              <w:spacing w:after="0"/>
              <w:jc w:val="left"/>
              <w:rPr>
                <w:szCs w:val="20"/>
              </w:rPr>
            </w:pPr>
            <w:r>
              <w:rPr>
                <w:szCs w:val="20"/>
              </w:rPr>
              <w:t xml:space="preserve">2 Rx </w:t>
            </w:r>
            <w:r>
              <w:t>antenna ports</w:t>
            </w:r>
            <w:r>
              <w:rPr>
                <w:szCs w:val="20"/>
              </w:rPr>
              <w:t>:</w:t>
            </w:r>
          </w:p>
          <w:p>
            <w:pPr>
              <w:snapToGrid w:val="0"/>
              <w:jc w:val="left"/>
              <w:rPr>
                <w:lang w:eastAsia="ja-JP"/>
              </w:rPr>
            </w:pPr>
            <w:r>
              <w:t>(M, N, P, Mg, Ng; Mp, Np) = (1, 1, 2, 1, 1; 1, 1)</w:t>
            </w:r>
          </w:p>
        </w:tc>
        <w:tc>
          <w:tcPr>
            <w:tcW w:w="2694" w:type="dxa"/>
            <w:tcBorders>
              <w:top w:val="single" w:color="auto" w:sz="4" w:space="0"/>
              <w:left w:val="single" w:color="auto" w:sz="4" w:space="0"/>
              <w:bottom w:val="single" w:color="auto" w:sz="4" w:space="0"/>
              <w:right w:val="single" w:color="auto" w:sz="4" w:space="0"/>
            </w:tcBorders>
            <w:vAlign w:val="center"/>
          </w:tcPr>
          <w:p>
            <w:pPr>
              <w:pStyle w:val="32"/>
              <w:snapToGrid w:val="0"/>
              <w:spacing w:after="0"/>
              <w:jc w:val="left"/>
              <w:rPr>
                <w:szCs w:val="20"/>
              </w:rPr>
            </w:pPr>
            <w:r>
              <w:rPr>
                <w:szCs w:val="20"/>
              </w:rPr>
              <w:t xml:space="preserve">2 Rx </w:t>
            </w:r>
            <w:r>
              <w:t>antenna ports</w:t>
            </w:r>
            <w:r>
              <w:rPr>
                <w:szCs w:val="20"/>
              </w:rPr>
              <w:t>:</w:t>
            </w:r>
          </w:p>
          <w:p>
            <w:pPr>
              <w:snapToGrid w:val="0"/>
              <w:jc w:val="left"/>
            </w:pPr>
            <w:r>
              <w:t>(M, N, P, Mg, Ng; Mp, Np) = (1, 1, 2, 1, 1; 1, 1)</w:t>
            </w:r>
          </w:p>
        </w:tc>
        <w:tc>
          <w:tcPr>
            <w:tcW w:w="2405" w:type="dxa"/>
            <w:tcBorders>
              <w:top w:val="single" w:color="auto" w:sz="4" w:space="0"/>
              <w:left w:val="single" w:color="auto" w:sz="4" w:space="0"/>
              <w:bottom w:val="single" w:color="auto" w:sz="4" w:space="0"/>
              <w:right w:val="single" w:color="auto" w:sz="4" w:space="0"/>
            </w:tcBorders>
            <w:vAlign w:val="center"/>
          </w:tcPr>
          <w:p>
            <w:pPr>
              <w:pStyle w:val="32"/>
              <w:snapToGrid w:val="0"/>
              <w:spacing w:after="0"/>
              <w:jc w:val="left"/>
              <w:rPr>
                <w:szCs w:val="20"/>
              </w:rPr>
            </w:pPr>
            <w:r>
              <w:rPr>
                <w:szCs w:val="20"/>
              </w:rPr>
              <w:t xml:space="preserve">2 Rx </w:t>
            </w:r>
            <w:r>
              <w:t>antenna ports</w:t>
            </w:r>
            <w:r>
              <w:rPr>
                <w:szCs w:val="20"/>
              </w:rPr>
              <w:t>:</w:t>
            </w:r>
          </w:p>
          <w:p>
            <w:pPr>
              <w:snapToGrid w:val="0"/>
              <w:jc w:val="left"/>
            </w:pPr>
            <w:r>
              <w:t xml:space="preserve">(M, N, P, Mg, Ng; Mp, Np) = (1, </w:t>
            </w:r>
            <w:r>
              <w:rPr>
                <w:rFonts w:hint="eastAsia"/>
              </w:rPr>
              <w:t>2</w:t>
            </w:r>
            <w:r>
              <w:t>, 2,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rPr>
                <w:lang w:eastAsia="ja-JP"/>
              </w:rPr>
            </w:pPr>
            <w:r>
              <w:t xml:space="preserve">Simulation bandwidth </w:t>
            </w:r>
          </w:p>
        </w:tc>
        <w:tc>
          <w:tcPr>
            <w:tcW w:w="2694" w:type="dxa"/>
            <w:tcBorders>
              <w:top w:val="single" w:color="auto" w:sz="4" w:space="0"/>
              <w:left w:val="single" w:color="auto" w:sz="4" w:space="0"/>
              <w:bottom w:val="single" w:color="auto" w:sz="4" w:space="0"/>
              <w:right w:val="single" w:color="auto" w:sz="4" w:space="0"/>
            </w:tcBorders>
          </w:tcPr>
          <w:p>
            <w:pPr>
              <w:snapToGrid w:val="0"/>
              <w:jc w:val="left"/>
            </w:pPr>
            <w:r>
              <w:rPr>
                <w:rFonts w:hint="eastAsia"/>
              </w:rPr>
              <w:t>10/2</w:t>
            </w:r>
            <w:r>
              <w:t>0 MHz</w:t>
            </w:r>
          </w:p>
        </w:tc>
        <w:tc>
          <w:tcPr>
            <w:tcW w:w="2694" w:type="dxa"/>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2</w:t>
            </w:r>
            <w:r>
              <w:t>0 MHz</w:t>
            </w:r>
          </w:p>
        </w:tc>
        <w:tc>
          <w:tcPr>
            <w:tcW w:w="2405" w:type="dxa"/>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lang w:eastAsia="ja-JP"/>
              </w:rPr>
              <w:t>Inter-BS distance</w:t>
            </w:r>
          </w:p>
        </w:tc>
        <w:tc>
          <w:tcPr>
            <w:tcW w:w="7793" w:type="dxa"/>
            <w:gridSpan w:val="3"/>
            <w:tcBorders>
              <w:top w:val="single" w:color="auto" w:sz="4" w:space="0"/>
              <w:left w:val="single" w:color="auto" w:sz="4" w:space="0"/>
              <w:bottom w:val="single" w:color="auto" w:sz="4" w:space="0"/>
              <w:right w:val="single" w:color="auto" w:sz="4" w:space="0"/>
            </w:tcBorders>
          </w:tcPr>
          <w:p>
            <w:pPr>
              <w:snapToGrid w:val="0"/>
              <w:jc w:val="left"/>
            </w:pPr>
            <w:r>
              <w:rPr>
                <w:rFonts w:hint="eastAsia"/>
              </w:rPr>
              <w:t>50</w:t>
            </w:r>
            <w: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lang w:eastAsia="ja-JP"/>
              </w:rPr>
              <w:t>UE Tx power</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lang w:eastAsia="ja-JP"/>
              </w:rPr>
              <w:t>BS antenna element gain + connector loss</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8</w:t>
            </w:r>
            <w:r>
              <w:rPr>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rPr>
                <w:lang w:eastAsia="ja-JP"/>
              </w:rPr>
            </w:pPr>
            <w:r>
              <w:rPr>
                <w:lang w:eastAsia="ja-JP"/>
              </w:rPr>
              <w:t>BS receiver noise figure</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line="276" w:lineRule="auto"/>
              <w:jc w:val="left"/>
            </w:pPr>
            <w: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rPr>
                <w:lang w:eastAsia="ja-JP"/>
              </w:rPr>
            </w:pPr>
            <w:r>
              <w:rPr>
                <w:lang w:eastAsia="ja-JP"/>
              </w:rPr>
              <w:t>BS antenna height</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lang w:eastAsia="ja-JP"/>
              </w:rPr>
              <w:t>UE antenna height</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lang w:eastAsia="ja-JP"/>
              </w:rPr>
              <w:t>UE antenna gain</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t>BS</w:t>
            </w:r>
            <w:r>
              <w:rPr>
                <w:lang w:eastAsia="ja-JP"/>
              </w:rPr>
              <w:t xml:space="preserve"> Tx power</w:t>
            </w:r>
          </w:p>
        </w:tc>
        <w:tc>
          <w:tcPr>
            <w:tcW w:w="7793" w:type="dxa"/>
            <w:gridSpan w:val="3"/>
            <w:tcBorders>
              <w:top w:val="single" w:color="auto" w:sz="4" w:space="0"/>
              <w:left w:val="single" w:color="auto" w:sz="4" w:space="0"/>
              <w:bottom w:val="single" w:color="auto" w:sz="4" w:space="0"/>
              <w:right w:val="single" w:color="auto" w:sz="4" w:space="0"/>
            </w:tcBorders>
          </w:tcPr>
          <w:p>
            <w:pPr>
              <w:snapToGrid w:val="0"/>
              <w:jc w:val="left"/>
              <w:rPr>
                <w:bCs/>
              </w:rPr>
            </w:pPr>
            <w:r>
              <w:rPr>
                <w:rFonts w:hint="eastAsia"/>
                <w:bCs/>
              </w:rPr>
              <w:t xml:space="preserve">46 </w:t>
            </w:r>
            <w:r>
              <w:rPr>
                <w:bCs/>
              </w:rPr>
              <w:t xml:space="preserve">dBm per </w:t>
            </w:r>
            <w:r>
              <w:rPr>
                <w:rFonts w:hint="eastAsia"/>
                <w:bCs/>
              </w:rPr>
              <w:t>1</w:t>
            </w:r>
            <w:r>
              <w:rPr>
                <w:bCs/>
              </w:rPr>
              <w:t>0</w:t>
            </w:r>
            <w:r>
              <w:rPr>
                <w:rFonts w:hint="eastAsia"/>
                <w:bCs/>
              </w:rPr>
              <w:t xml:space="preserve"> </w:t>
            </w:r>
            <w:r>
              <w:rPr>
                <w:bCs/>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rPr>
                <w:lang w:eastAsia="ja-JP"/>
              </w:rPr>
            </w:pPr>
            <w:r>
              <w:rPr>
                <w:lang w:eastAsia="ja-JP"/>
              </w:rPr>
              <w:t>BS receiver</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pStyle w:val="88"/>
              <w:snapToGrid w:val="0"/>
              <w:ind w:left="0"/>
              <w:jc w:val="left"/>
              <w:rPr>
                <w:lang w:eastAsia="ja-JP"/>
              </w:rPr>
            </w:pPr>
            <w:r>
              <w:rPr>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rPr>
                <w:lang w:eastAsia="ja-JP"/>
              </w:rPr>
            </w:pPr>
            <w:r>
              <w:t>UE receiver noise figure</w:t>
            </w:r>
          </w:p>
        </w:tc>
        <w:tc>
          <w:tcPr>
            <w:tcW w:w="7793" w:type="dxa"/>
            <w:gridSpan w:val="3"/>
            <w:tcBorders>
              <w:top w:val="single" w:color="auto" w:sz="4" w:space="0"/>
              <w:left w:val="single" w:color="auto" w:sz="4" w:space="0"/>
              <w:bottom w:val="single" w:color="auto" w:sz="4" w:space="0"/>
              <w:right w:val="single" w:color="auto" w:sz="4" w:space="0"/>
            </w:tcBorders>
          </w:tcPr>
          <w:p>
            <w:pPr>
              <w:snapToGrid w:val="0"/>
              <w:jc w:val="left"/>
            </w:pPr>
            <w: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t xml:space="preserve">SCS </w:t>
            </w:r>
          </w:p>
        </w:tc>
        <w:tc>
          <w:tcPr>
            <w:tcW w:w="7793" w:type="dxa"/>
            <w:gridSpan w:val="3"/>
            <w:tcBorders>
              <w:top w:val="single" w:color="auto" w:sz="4" w:space="0"/>
              <w:left w:val="single" w:color="auto" w:sz="4" w:space="0"/>
              <w:bottom w:val="single" w:color="auto" w:sz="4" w:space="0"/>
              <w:right w:val="single" w:color="auto" w:sz="4" w:space="0"/>
            </w:tcBorders>
          </w:tcPr>
          <w:p>
            <w:pPr>
              <w:snapToGrid w:val="0"/>
              <w:spacing w:before="120" w:line="280" w:lineRule="atLeast"/>
              <w:rPr>
                <w:rFonts w:ascii="New York" w:hAnsi="New York"/>
              </w:rPr>
            </w:pPr>
            <w:r>
              <w:rPr>
                <w:rFonts w:hint="eastAsia" w:ascii="New York" w:hAnsi="New York"/>
              </w:rPr>
              <w:t>15 kHz for 700MHz/2GHz</w:t>
            </w:r>
          </w:p>
          <w:p>
            <w:pPr>
              <w:snapToGrid w:val="0"/>
              <w:jc w:val="left"/>
            </w:pPr>
            <w:r>
              <w:rPr>
                <w:rFonts w:hint="eastAsia" w:ascii="New York" w:hAnsi="New York"/>
              </w:rPr>
              <w:t>30 kHz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t xml:space="preserve">Channel model </w:t>
            </w:r>
          </w:p>
        </w:tc>
        <w:tc>
          <w:tcPr>
            <w:tcW w:w="7793" w:type="dxa"/>
            <w:gridSpan w:val="3"/>
            <w:tcBorders>
              <w:top w:val="single" w:color="auto" w:sz="4" w:space="0"/>
              <w:left w:val="single" w:color="auto" w:sz="4" w:space="0"/>
              <w:bottom w:val="single" w:color="auto" w:sz="4" w:space="0"/>
              <w:right w:val="single" w:color="auto" w:sz="4" w:space="0"/>
            </w:tcBorders>
          </w:tcPr>
          <w:p>
            <w:pPr>
              <w:snapToGrid w:val="0"/>
              <w:jc w:val="left"/>
            </w:pPr>
            <w: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lang w:eastAsia="ja-JP"/>
              </w:rPr>
              <w:t>UE distribution</w:t>
            </w:r>
          </w:p>
        </w:tc>
        <w:tc>
          <w:tcPr>
            <w:tcW w:w="7793" w:type="dxa"/>
            <w:gridSpan w:val="3"/>
            <w:tcBorders>
              <w:top w:val="single" w:color="auto" w:sz="4" w:space="0"/>
              <w:left w:val="single" w:color="auto" w:sz="4" w:space="0"/>
              <w:bottom w:val="single" w:color="auto" w:sz="4" w:space="0"/>
              <w:right w:val="single" w:color="auto" w:sz="4" w:space="0"/>
            </w:tcBorders>
          </w:tcPr>
          <w:p>
            <w:pPr>
              <w:snapToGrid w:val="0"/>
              <w:jc w:val="left"/>
            </w:pPr>
            <w:r>
              <w:rPr>
                <w:rFonts w:hint="eastAsia"/>
              </w:rPr>
              <w:t>8</w:t>
            </w:r>
            <w:r>
              <w:t xml:space="preserve">0% of users are indoor: 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t>HARQ</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Max number of transmissions = 4 with target BLER =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lang w:eastAsia="ja-JP"/>
              </w:rPr>
              <w:t>Channel estimation</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rFonts w:hint="eastAsia"/>
              </w:rPr>
              <w:t>CSI feedback Period and scheduling delay</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5 , 2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rFonts w:hint="eastAsia"/>
              </w:rPr>
              <w:t>CSI feedback mode</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Sub-band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snapToGrid w:val="0"/>
              <w:jc w:val="left"/>
            </w:pPr>
            <w:r>
              <w:rPr>
                <w:rFonts w:hint="eastAsia"/>
              </w:rPr>
              <w:t>Traffic model</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pPr>
            <w:r>
              <w:rPr>
                <w:rFonts w:hint="eastAsia"/>
              </w:rPr>
              <w:t>Full buffer</w:t>
            </w:r>
          </w:p>
        </w:tc>
      </w:tr>
    </w:tbl>
    <w:p>
      <w:pPr>
        <w:pStyle w:val="126"/>
        <w:numPr>
          <w:ilvl w:val="0"/>
          <w:numId w:val="0"/>
        </w:numPr>
      </w:pPr>
    </w:p>
    <w:p>
      <w:pPr>
        <w:pStyle w:val="3"/>
      </w:pPr>
      <w:r>
        <w:rPr>
          <w:rFonts w:hint="eastAsia"/>
          <w:lang w:val="en-US"/>
        </w:rPr>
        <w:t>DCI size and DCI fields assumption</w:t>
      </w:r>
    </w:p>
    <w:p>
      <w:pPr>
        <w:jc w:val="center"/>
      </w:pPr>
      <w:r>
        <w:rPr>
          <w:rFonts w:hint="eastAsia"/>
        </w:rPr>
        <w:t>Table A-3 DCI fields assumption for system level simulation</w:t>
      </w:r>
    </w:p>
    <w:tbl>
      <w:tblPr>
        <w:tblStyle w:val="51"/>
        <w:tblW w:w="9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1206"/>
        <w:gridCol w:w="1188"/>
        <w:gridCol w:w="1444"/>
        <w:gridCol w:w="1444"/>
        <w:gridCol w:w="144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1699" w:type="dxa"/>
            <w:vMerge w:val="restart"/>
            <w:tcBorders>
              <w:top w:val="single" w:color="auto" w:sz="4" w:space="0"/>
              <w:left w:val="single" w:color="auto" w:sz="4" w:space="0"/>
              <w:right w:val="single" w:color="auto" w:sz="4" w:space="0"/>
            </w:tcBorders>
            <w:shd w:val="clear" w:color="auto" w:fill="2E75B5" w:themeFill="accent1" w:themeFillShade="BF"/>
            <w:vAlign w:val="center"/>
          </w:tcPr>
          <w:p>
            <w:pPr>
              <w:pStyle w:val="126"/>
              <w:numPr>
                <w:ilvl w:val="0"/>
                <w:numId w:val="0"/>
              </w:numPr>
              <w:spacing w:before="0" w:after="0" w:line="240" w:lineRule="auto"/>
              <w:jc w:val="center"/>
            </w:pPr>
            <w:r>
              <w:t>DCI fields of Format 1_1</w:t>
            </w:r>
          </w:p>
        </w:tc>
        <w:tc>
          <w:tcPr>
            <w:tcW w:w="1206" w:type="dxa"/>
            <w:vMerge w:val="restart"/>
            <w:tcBorders>
              <w:top w:val="single" w:color="auto" w:sz="4" w:space="0"/>
              <w:left w:val="single" w:color="auto" w:sz="4" w:space="0"/>
              <w:right w:val="single" w:color="auto" w:sz="4" w:space="0"/>
            </w:tcBorders>
            <w:shd w:val="clear" w:color="auto" w:fill="BE8F00" w:themeFill="accent4" w:themeFillShade="BF"/>
            <w:vAlign w:val="center"/>
          </w:tcPr>
          <w:p>
            <w:pPr>
              <w:pStyle w:val="126"/>
              <w:numPr>
                <w:ilvl w:val="0"/>
                <w:numId w:val="0"/>
              </w:numPr>
              <w:spacing w:before="0" w:after="0" w:line="240" w:lineRule="auto"/>
              <w:jc w:val="center"/>
            </w:pPr>
            <w:r>
              <w:t>Bit size of Format 1_1 (bits)</w:t>
            </w:r>
          </w:p>
        </w:tc>
        <w:tc>
          <w:tcPr>
            <w:tcW w:w="1188" w:type="dxa"/>
            <w:vMerge w:val="restart"/>
            <w:tcBorders>
              <w:top w:val="single" w:color="auto" w:sz="4" w:space="0"/>
              <w:left w:val="single" w:color="auto" w:sz="4" w:space="0"/>
              <w:right w:val="single" w:color="auto" w:sz="4" w:space="0"/>
            </w:tcBorders>
            <w:shd w:val="clear" w:color="auto" w:fill="BE8F00" w:themeFill="accent4" w:themeFillShade="BF"/>
            <w:vAlign w:val="center"/>
          </w:tcPr>
          <w:p>
            <w:pPr>
              <w:pStyle w:val="126"/>
              <w:numPr>
                <w:ilvl w:val="0"/>
                <w:numId w:val="0"/>
              </w:numPr>
              <w:spacing w:before="0" w:after="0" w:line="240" w:lineRule="auto"/>
              <w:jc w:val="center"/>
            </w:pPr>
            <w:r>
              <w:rPr>
                <w:rFonts w:hint="eastAsia"/>
              </w:rPr>
              <w:t>Case A</w:t>
            </w:r>
          </w:p>
          <w:p>
            <w:pPr>
              <w:pStyle w:val="126"/>
              <w:numPr>
                <w:ilvl w:val="0"/>
                <w:numId w:val="0"/>
              </w:numPr>
              <w:spacing w:before="0" w:after="0" w:line="240" w:lineRule="auto"/>
              <w:jc w:val="center"/>
            </w:pPr>
            <w:r>
              <w:t>Baseline size (bits)</w:t>
            </w:r>
          </w:p>
        </w:tc>
        <w:tc>
          <w:tcPr>
            <w:tcW w:w="2888" w:type="dxa"/>
            <w:gridSpan w:val="2"/>
            <w:tcBorders>
              <w:top w:val="single" w:color="auto" w:sz="4" w:space="0"/>
              <w:left w:val="single" w:color="auto" w:sz="4" w:space="0"/>
              <w:bottom w:val="single" w:color="auto" w:sz="4" w:space="0"/>
              <w:right w:val="single" w:color="auto" w:sz="4" w:space="0"/>
            </w:tcBorders>
            <w:shd w:val="clear" w:color="auto" w:fill="C55911" w:themeFill="accent2" w:themeFillShade="BF"/>
            <w:vAlign w:val="center"/>
          </w:tcPr>
          <w:p>
            <w:pPr>
              <w:pStyle w:val="126"/>
              <w:numPr>
                <w:ilvl w:val="0"/>
                <w:numId w:val="0"/>
              </w:numPr>
              <w:spacing w:before="0" w:after="0" w:line="240" w:lineRule="auto"/>
              <w:jc w:val="center"/>
            </w:pPr>
            <w:r>
              <w:rPr>
                <w:rFonts w:hint="eastAsia"/>
                <w:szCs w:val="22"/>
              </w:rPr>
              <w:t>Case B</w:t>
            </w:r>
          </w:p>
        </w:tc>
        <w:tc>
          <w:tcPr>
            <w:tcW w:w="2890" w:type="dxa"/>
            <w:gridSpan w:val="2"/>
            <w:tcBorders>
              <w:top w:val="single" w:color="auto" w:sz="4" w:space="0"/>
              <w:left w:val="single" w:color="auto" w:sz="4" w:space="0"/>
              <w:bottom w:val="single" w:color="auto" w:sz="4" w:space="0"/>
              <w:right w:val="single" w:color="auto" w:sz="4" w:space="0"/>
            </w:tcBorders>
            <w:shd w:val="clear" w:color="auto" w:fill="C55911" w:themeFill="accent2" w:themeFillShade="BF"/>
            <w:vAlign w:val="center"/>
          </w:tcPr>
          <w:p>
            <w:pPr>
              <w:pStyle w:val="126"/>
              <w:numPr>
                <w:ilvl w:val="0"/>
                <w:numId w:val="0"/>
              </w:numPr>
              <w:spacing w:before="0" w:after="0" w:line="240" w:lineRule="auto"/>
              <w:jc w:val="center"/>
            </w:pPr>
            <w:r>
              <w:rPr>
                <w:rFonts w:hint="eastAsia"/>
                <w:szCs w:val="22"/>
              </w:rPr>
              <w:t>Case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699" w:type="dxa"/>
            <w:vMerge w:val="continue"/>
            <w:tcBorders>
              <w:left w:val="single" w:color="auto" w:sz="4" w:space="0"/>
              <w:bottom w:val="single" w:color="auto" w:sz="4" w:space="0"/>
              <w:right w:val="single" w:color="auto" w:sz="4" w:space="0"/>
            </w:tcBorders>
            <w:shd w:val="clear" w:color="auto" w:fill="2E75B5" w:themeFill="accent1" w:themeFillShade="BF"/>
            <w:vAlign w:val="center"/>
          </w:tcPr>
          <w:p>
            <w:pPr>
              <w:pStyle w:val="126"/>
              <w:numPr>
                <w:ilvl w:val="0"/>
                <w:numId w:val="0"/>
              </w:numPr>
              <w:spacing w:before="0" w:after="0" w:line="240" w:lineRule="auto"/>
              <w:jc w:val="center"/>
            </w:pPr>
          </w:p>
        </w:tc>
        <w:tc>
          <w:tcPr>
            <w:tcW w:w="1206" w:type="dxa"/>
            <w:vMerge w:val="continue"/>
            <w:tcBorders>
              <w:left w:val="single" w:color="auto" w:sz="4" w:space="0"/>
              <w:bottom w:val="single" w:color="auto" w:sz="4" w:space="0"/>
              <w:right w:val="single" w:color="auto" w:sz="4" w:space="0"/>
            </w:tcBorders>
            <w:shd w:val="clear" w:color="auto" w:fill="BE8F00" w:themeFill="accent4" w:themeFillShade="BF"/>
            <w:vAlign w:val="center"/>
          </w:tcPr>
          <w:p>
            <w:pPr>
              <w:pStyle w:val="126"/>
              <w:numPr>
                <w:ilvl w:val="0"/>
                <w:numId w:val="0"/>
              </w:numPr>
              <w:spacing w:before="0" w:after="0" w:line="240" w:lineRule="auto"/>
              <w:jc w:val="center"/>
            </w:pPr>
          </w:p>
        </w:tc>
        <w:tc>
          <w:tcPr>
            <w:tcW w:w="1188" w:type="dxa"/>
            <w:vMerge w:val="continue"/>
            <w:tcBorders>
              <w:left w:val="single" w:color="auto" w:sz="4" w:space="0"/>
              <w:bottom w:val="single" w:color="auto" w:sz="4" w:space="0"/>
              <w:right w:val="single" w:color="auto" w:sz="4" w:space="0"/>
            </w:tcBorders>
            <w:shd w:val="clear" w:color="auto" w:fill="BE8F00" w:themeFill="accent4" w:themeFillShade="BF"/>
            <w:vAlign w:val="center"/>
          </w:tcPr>
          <w:p>
            <w:pPr>
              <w:pStyle w:val="126"/>
              <w:numPr>
                <w:ilvl w:val="0"/>
                <w:numId w:val="0"/>
              </w:numPr>
              <w:spacing w:before="0" w:after="0" w:line="240" w:lineRule="auto"/>
              <w:jc w:val="center"/>
            </w:pPr>
          </w:p>
        </w:tc>
        <w:tc>
          <w:tcPr>
            <w:tcW w:w="1444" w:type="dxa"/>
            <w:tcBorders>
              <w:top w:val="single" w:color="auto" w:sz="4" w:space="0"/>
              <w:left w:val="single" w:color="auto" w:sz="4" w:space="0"/>
              <w:bottom w:val="single" w:color="auto" w:sz="4" w:space="0"/>
              <w:right w:val="single" w:color="auto" w:sz="4" w:space="0"/>
            </w:tcBorders>
            <w:shd w:val="clear" w:color="auto" w:fill="C55911" w:themeFill="accent2" w:themeFillShade="BF"/>
            <w:vAlign w:val="center"/>
          </w:tcPr>
          <w:p>
            <w:pPr>
              <w:pStyle w:val="126"/>
              <w:numPr>
                <w:ilvl w:val="0"/>
                <w:numId w:val="0"/>
              </w:numPr>
              <w:spacing w:before="0" w:after="0" w:line="240" w:lineRule="auto"/>
              <w:jc w:val="center"/>
            </w:pPr>
            <w:r>
              <w:t>Single DCI with enhanced scheduling (Shared or Separate indication)</w:t>
            </w:r>
          </w:p>
        </w:tc>
        <w:tc>
          <w:tcPr>
            <w:tcW w:w="1444" w:type="dxa"/>
            <w:tcBorders>
              <w:top w:val="single" w:color="auto" w:sz="4" w:space="0"/>
              <w:left w:val="single" w:color="auto" w:sz="4" w:space="0"/>
              <w:bottom w:val="single" w:color="auto" w:sz="4" w:space="0"/>
              <w:right w:val="single" w:color="auto" w:sz="4" w:space="0"/>
            </w:tcBorders>
            <w:shd w:val="clear" w:color="auto" w:fill="C55911" w:themeFill="accent2" w:themeFillShade="BF"/>
            <w:vAlign w:val="center"/>
          </w:tcPr>
          <w:p>
            <w:pPr>
              <w:pStyle w:val="126"/>
              <w:numPr>
                <w:ilvl w:val="0"/>
                <w:numId w:val="0"/>
              </w:numPr>
              <w:spacing w:before="0" w:after="0" w:line="240" w:lineRule="auto"/>
              <w:jc w:val="center"/>
            </w:pPr>
            <w:r>
              <w:t>Bit size of Single DCI with enhanced scheduling compared with baseline size (bits)</w:t>
            </w:r>
          </w:p>
        </w:tc>
        <w:tc>
          <w:tcPr>
            <w:tcW w:w="1445" w:type="dxa"/>
            <w:tcBorders>
              <w:top w:val="single" w:color="auto" w:sz="4" w:space="0"/>
              <w:left w:val="single" w:color="auto" w:sz="4" w:space="0"/>
              <w:bottom w:val="single" w:color="auto" w:sz="4" w:space="0"/>
              <w:right w:val="single" w:color="auto" w:sz="4" w:space="0"/>
            </w:tcBorders>
            <w:shd w:val="clear" w:color="auto" w:fill="C55911" w:themeFill="accent2" w:themeFillShade="BF"/>
            <w:vAlign w:val="center"/>
          </w:tcPr>
          <w:p>
            <w:pPr>
              <w:pStyle w:val="126"/>
              <w:numPr>
                <w:ilvl w:val="0"/>
                <w:numId w:val="0"/>
              </w:numPr>
              <w:spacing w:before="0" w:after="0" w:line="240" w:lineRule="auto"/>
              <w:jc w:val="center"/>
            </w:pPr>
            <w:r>
              <w:t>Single DCI with enhanced scheduling (Shared or Separate indication)</w:t>
            </w:r>
          </w:p>
        </w:tc>
        <w:tc>
          <w:tcPr>
            <w:tcW w:w="1445" w:type="dxa"/>
            <w:tcBorders>
              <w:top w:val="single" w:color="auto" w:sz="4" w:space="0"/>
              <w:left w:val="single" w:color="auto" w:sz="4" w:space="0"/>
              <w:bottom w:val="single" w:color="auto" w:sz="4" w:space="0"/>
              <w:right w:val="single" w:color="auto" w:sz="4" w:space="0"/>
            </w:tcBorders>
            <w:shd w:val="clear" w:color="auto" w:fill="C55911" w:themeFill="accent2" w:themeFillShade="BF"/>
            <w:vAlign w:val="center"/>
          </w:tcPr>
          <w:p>
            <w:pPr>
              <w:pStyle w:val="126"/>
              <w:numPr>
                <w:ilvl w:val="0"/>
                <w:numId w:val="0"/>
              </w:numPr>
              <w:spacing w:before="0" w:after="0" w:line="240" w:lineRule="auto"/>
              <w:jc w:val="center"/>
            </w:pPr>
            <w:r>
              <w:t>Bit size of Single DCI with enhanced scheduling compared with baseline size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Identifier for DCI formats</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Carrier indicator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or 3</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3</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3</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 xml:space="preserve">Shared </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Bandwidth part indicator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 2</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rPr>
                <w:rFonts w:hint="eastAsia"/>
              </w:rPr>
              <w:t>FDRA</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13</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13</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26</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rPr>
                <w:rFonts w:hint="eastAsia"/>
              </w:rPr>
              <w:t>TDRA</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0 - 4</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4</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8</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VRB-to-PRB mapping</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or 1</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PRB bundling size indicator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or 1</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Rate matching indicator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0 - 2</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ZP CSI-RS trigger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0 - 2</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TB1: Modulation and coding scheme</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5</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5</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10</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TB1: New data indicator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TB1: Redundancy version</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2</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2</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4</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HARQ process number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4</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4</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8</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Downlink assignment index</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2, or 4</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4</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8</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TPC command for scheduled PUCCH</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2</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2</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PUCCH resource indicator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3</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3</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3</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K1 timing indicator</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0 - 3</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3</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6</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Antenna port(s)</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4, 5, or 6</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4</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8</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rPr>
                <w:rFonts w:hint="eastAsia"/>
              </w:rPr>
              <w:t>S</w:t>
            </w:r>
            <w:r>
              <w:t>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Transmission configuration indication</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0 or 3</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3</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rPr>
                <w:rFonts w:hint="eastAsia"/>
              </w:rPr>
              <w:t>S</w:t>
            </w:r>
            <w:r>
              <w:t>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6</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rPr>
                <w:rFonts w:hint="eastAsia"/>
              </w:rPr>
              <w:t>S</w:t>
            </w:r>
            <w:r>
              <w:t>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SRS request</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2 or 3</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2</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4</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Separate</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DMRS sequence initialization</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1</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Shared</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tcBorders>
              <w:top w:val="single" w:color="auto" w:sz="4" w:space="0"/>
              <w:left w:val="single" w:color="auto" w:sz="4" w:space="0"/>
              <w:bottom w:val="single" w:color="auto" w:sz="4" w:space="0"/>
              <w:right w:val="single" w:color="auto" w:sz="4" w:space="0"/>
            </w:tcBorders>
            <w:shd w:val="clear" w:color="auto" w:fill="9CC2E5" w:themeFill="accent1" w:themeFillTint="99"/>
            <w:vAlign w:val="center"/>
          </w:tcPr>
          <w:p>
            <w:pPr>
              <w:pStyle w:val="126"/>
              <w:numPr>
                <w:ilvl w:val="0"/>
                <w:numId w:val="0"/>
              </w:numPr>
              <w:spacing w:before="0" w:after="0" w:line="240" w:lineRule="auto"/>
              <w:jc w:val="center"/>
            </w:pPr>
            <w:r>
              <w:t>Total size (excluding CRC)</w:t>
            </w:r>
          </w:p>
        </w:tc>
        <w:tc>
          <w:tcPr>
            <w:tcW w:w="1206"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38 - 83</w:t>
            </w:r>
          </w:p>
        </w:tc>
        <w:tc>
          <w:tcPr>
            <w:tcW w:w="1188" w:type="dxa"/>
            <w:tcBorders>
              <w:top w:val="single" w:color="auto" w:sz="4" w:space="0"/>
              <w:left w:val="single" w:color="auto" w:sz="4" w:space="0"/>
              <w:bottom w:val="single" w:color="auto" w:sz="4" w:space="0"/>
              <w:right w:val="single" w:color="auto" w:sz="4" w:space="0"/>
            </w:tcBorders>
            <w:shd w:val="clear" w:color="auto" w:fill="FFE599" w:themeFill="accent4" w:themeFillTint="66"/>
            <w:vAlign w:val="center"/>
          </w:tcPr>
          <w:p>
            <w:pPr>
              <w:pStyle w:val="126"/>
              <w:numPr>
                <w:ilvl w:val="0"/>
                <w:numId w:val="0"/>
              </w:numPr>
              <w:spacing w:before="0" w:after="0" w:line="240" w:lineRule="auto"/>
              <w:jc w:val="center"/>
            </w:pPr>
            <w:r>
              <w:t>60</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Total size (bits)</w:t>
            </w:r>
          </w:p>
        </w:tc>
        <w:tc>
          <w:tcPr>
            <w:tcW w:w="1444"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rPr>
                <w:rFonts w:hint="eastAsia"/>
              </w:rPr>
              <w:t>108</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t>Total size (bits)</w:t>
            </w:r>
          </w:p>
        </w:tc>
        <w:tc>
          <w:tcPr>
            <w:tcW w:w="1445" w:type="dxa"/>
            <w:tcBorders>
              <w:top w:val="single" w:color="auto" w:sz="4" w:space="0"/>
              <w:left w:val="single" w:color="auto" w:sz="4" w:space="0"/>
              <w:bottom w:val="single" w:color="auto" w:sz="4" w:space="0"/>
              <w:right w:val="single" w:color="auto" w:sz="4" w:space="0"/>
            </w:tcBorders>
            <w:shd w:val="clear" w:color="auto" w:fill="F4B083" w:themeFill="accent2" w:themeFillTint="99"/>
            <w:vAlign w:val="center"/>
          </w:tcPr>
          <w:p>
            <w:pPr>
              <w:pStyle w:val="126"/>
              <w:numPr>
                <w:ilvl w:val="0"/>
                <w:numId w:val="0"/>
              </w:numPr>
              <w:spacing w:before="0" w:after="0" w:line="240" w:lineRule="auto"/>
              <w:jc w:val="center"/>
            </w:pPr>
            <w:r>
              <w:rPr>
                <w:rFonts w:hint="eastAsia"/>
              </w:rPr>
              <w:t>84</w:t>
            </w:r>
          </w:p>
        </w:tc>
      </w:tr>
    </w:tbl>
    <w:p>
      <w:pPr>
        <w:pStyle w:val="126"/>
        <w:numPr>
          <w:ilvl w:val="0"/>
          <w:numId w:val="0"/>
        </w:numPr>
      </w:pPr>
    </w:p>
    <w:p>
      <w:pPr>
        <w:pStyle w:val="3"/>
        <w:rPr>
          <w:lang w:val="en-US"/>
        </w:rPr>
      </w:pPr>
      <w:r>
        <w:rPr>
          <w:rFonts w:hint="eastAsia"/>
          <w:lang w:val="en-US"/>
        </w:rPr>
        <w:t>Geometry</w:t>
      </w:r>
    </w:p>
    <w:p>
      <w:pPr>
        <w:pStyle w:val="126"/>
        <w:numPr>
          <w:ilvl w:val="0"/>
          <w:numId w:val="0"/>
        </w:numPr>
        <w:spacing w:after="0"/>
        <w:jc w:val="center"/>
      </w:pPr>
      <w:r>
        <w:drawing>
          <wp:inline distT="0" distB="0" distL="114300" distR="114300">
            <wp:extent cx="3358515" cy="252031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7"/>
                    <a:srcRect/>
                    <a:stretch>
                      <a:fillRect/>
                    </a:stretch>
                  </pic:blipFill>
                  <pic:spPr>
                    <a:xfrm>
                      <a:off x="0" y="0"/>
                      <a:ext cx="3358515" cy="2520315"/>
                    </a:xfrm>
                    <a:prstGeom prst="rect">
                      <a:avLst/>
                    </a:prstGeom>
                    <a:noFill/>
                    <a:ln>
                      <a:noFill/>
                    </a:ln>
                  </pic:spPr>
                </pic:pic>
              </a:graphicData>
            </a:graphic>
          </wp:inline>
        </w:drawing>
      </w:r>
    </w:p>
    <w:p>
      <w:pPr>
        <w:pStyle w:val="126"/>
        <w:numPr>
          <w:ilvl w:val="0"/>
          <w:numId w:val="0"/>
        </w:numPr>
        <w:spacing w:after="180"/>
        <w:jc w:val="center"/>
      </w:pPr>
      <w:r>
        <w:rPr>
          <w:rFonts w:hint="eastAsia"/>
        </w:rPr>
        <w:t>Fig.A-1</w:t>
      </w:r>
      <w:r>
        <w:t>.</w:t>
      </w:r>
      <w:r>
        <w:rPr>
          <w:rFonts w:hint="eastAsia"/>
        </w:rPr>
        <w:t xml:space="preserve"> CDF of SNR for PDCCH in U</w:t>
      </w:r>
      <w:r>
        <w:t xml:space="preserve">rban </w:t>
      </w:r>
      <w:r>
        <w:rPr>
          <w:rFonts w:hint="eastAsia"/>
        </w:rPr>
        <w:t>scenario</w:t>
      </w:r>
      <w:r>
        <w:t xml:space="preserve"> </w:t>
      </w:r>
      <w:r>
        <w:rPr>
          <w:rFonts w:hint="eastAsia"/>
        </w:rPr>
        <w:t>(700MHz)</w:t>
      </w:r>
    </w:p>
    <w:p>
      <w:pPr>
        <w:pStyle w:val="126"/>
        <w:numPr>
          <w:ilvl w:val="0"/>
          <w:numId w:val="0"/>
        </w:numPr>
        <w:spacing w:after="0"/>
        <w:jc w:val="center"/>
      </w:pPr>
      <w:r>
        <w:drawing>
          <wp:inline distT="0" distB="0" distL="114300" distR="114300">
            <wp:extent cx="3360420" cy="2520315"/>
            <wp:effectExtent l="0" t="0" r="0" b="0"/>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18"/>
                    <a:stretch>
                      <a:fillRect/>
                    </a:stretch>
                  </pic:blipFill>
                  <pic:spPr>
                    <a:xfrm>
                      <a:off x="0" y="0"/>
                      <a:ext cx="3360420" cy="2520315"/>
                    </a:xfrm>
                    <a:prstGeom prst="rect">
                      <a:avLst/>
                    </a:prstGeom>
                    <a:noFill/>
                    <a:ln>
                      <a:noFill/>
                    </a:ln>
                  </pic:spPr>
                </pic:pic>
              </a:graphicData>
            </a:graphic>
          </wp:inline>
        </w:drawing>
      </w:r>
    </w:p>
    <w:p>
      <w:pPr>
        <w:pStyle w:val="126"/>
        <w:numPr>
          <w:ilvl w:val="0"/>
          <w:numId w:val="0"/>
        </w:numPr>
        <w:spacing w:after="180"/>
        <w:jc w:val="center"/>
      </w:pPr>
      <w:r>
        <w:rPr>
          <w:rFonts w:hint="eastAsia"/>
        </w:rPr>
        <w:t>Fig.A-2</w:t>
      </w:r>
      <w:r>
        <w:t>.</w:t>
      </w:r>
      <w:r>
        <w:rPr>
          <w:rFonts w:hint="eastAsia"/>
        </w:rPr>
        <w:t xml:space="preserve"> CDF of SNR for PDCCH in U</w:t>
      </w:r>
      <w:r>
        <w:t xml:space="preserve">rban </w:t>
      </w:r>
      <w:r>
        <w:rPr>
          <w:rFonts w:hint="eastAsia"/>
        </w:rPr>
        <w:t>scenario</w:t>
      </w:r>
      <w:r>
        <w:t xml:space="preserve"> </w:t>
      </w:r>
      <w:r>
        <w:rPr>
          <w:rFonts w:hint="eastAsia"/>
        </w:rPr>
        <w:t>(2GHz)</w:t>
      </w:r>
    </w:p>
    <w:p>
      <w:pPr>
        <w:pStyle w:val="3"/>
        <w:rPr>
          <w:lang w:val="en-US"/>
        </w:rPr>
      </w:pPr>
      <w:r>
        <w:rPr>
          <w:rFonts w:hint="eastAsia"/>
          <w:lang w:val="en-US"/>
        </w:rPr>
        <w:t>PDCCH LLS results</w:t>
      </w:r>
    </w:p>
    <w:p>
      <w:pPr>
        <w:pStyle w:val="126"/>
        <w:numPr>
          <w:ilvl w:val="0"/>
          <w:numId w:val="0"/>
        </w:numPr>
        <w:spacing w:after="0"/>
        <w:jc w:val="center"/>
      </w:pPr>
      <w:r>
        <w:drawing>
          <wp:inline distT="0" distB="0" distL="114300" distR="114300">
            <wp:extent cx="4860290" cy="2879725"/>
            <wp:effectExtent l="0" t="0" r="0" b="0"/>
            <wp:docPr id="12" name="图片 4"/>
            <wp:cNvGraphicFramePr/>
            <a:graphic xmlns:a="http://schemas.openxmlformats.org/drawingml/2006/main">
              <a:graphicData uri="http://schemas.openxmlformats.org/drawingml/2006/picture">
                <pic:pic xmlns:pic="http://schemas.openxmlformats.org/drawingml/2006/picture">
                  <pic:nvPicPr>
                    <pic:cNvPr id="12" name="图片 4"/>
                    <pic:cNvPicPr/>
                  </pic:nvPicPr>
                  <pic:blipFill>
                    <a:blip r:embed="rId19"/>
                    <a:stretch>
                      <a:fillRect/>
                    </a:stretch>
                  </pic:blipFill>
                  <pic:spPr>
                    <a:xfrm>
                      <a:off x="0" y="0"/>
                      <a:ext cx="4860290" cy="2879725"/>
                    </a:xfrm>
                    <a:prstGeom prst="rect">
                      <a:avLst/>
                    </a:prstGeom>
                    <a:noFill/>
                    <a:ln>
                      <a:noFill/>
                    </a:ln>
                  </pic:spPr>
                </pic:pic>
              </a:graphicData>
            </a:graphic>
          </wp:inline>
        </w:drawing>
      </w:r>
    </w:p>
    <w:p>
      <w:pPr>
        <w:pStyle w:val="126"/>
        <w:numPr>
          <w:ilvl w:val="0"/>
          <w:numId w:val="0"/>
        </w:numPr>
        <w:spacing w:after="180"/>
        <w:jc w:val="center"/>
      </w:pPr>
      <w:r>
        <w:rPr>
          <w:rFonts w:hint="eastAsia"/>
        </w:rPr>
        <w:t>Fig.A-3</w:t>
      </w:r>
      <w:r>
        <w:t>.</w:t>
      </w:r>
      <w:r>
        <w:rPr>
          <w:rFonts w:hint="eastAsia"/>
        </w:rPr>
        <w:t xml:space="preserve"> Link level simulation results</w:t>
      </w:r>
      <w:r>
        <w:t xml:space="preserve"> </w:t>
      </w:r>
      <w:r>
        <w:rPr>
          <w:rFonts w:hint="eastAsia"/>
        </w:rPr>
        <w:t>(700MHz)</w:t>
      </w:r>
    </w:p>
    <w:p>
      <w:pPr>
        <w:pStyle w:val="126"/>
        <w:numPr>
          <w:ilvl w:val="0"/>
          <w:numId w:val="0"/>
        </w:numPr>
        <w:spacing w:after="0"/>
        <w:jc w:val="center"/>
      </w:pPr>
      <w:r>
        <w:drawing>
          <wp:inline distT="0" distB="0" distL="114300" distR="114300">
            <wp:extent cx="4860290" cy="2879725"/>
            <wp:effectExtent l="0" t="0" r="0" b="0"/>
            <wp:docPr id="10" name="图片 2"/>
            <wp:cNvGraphicFramePr/>
            <a:graphic xmlns:a="http://schemas.openxmlformats.org/drawingml/2006/main">
              <a:graphicData uri="http://schemas.openxmlformats.org/drawingml/2006/picture">
                <pic:pic xmlns:pic="http://schemas.openxmlformats.org/drawingml/2006/picture">
                  <pic:nvPicPr>
                    <pic:cNvPr id="10" name="图片 2"/>
                    <pic:cNvPicPr/>
                  </pic:nvPicPr>
                  <pic:blipFill>
                    <a:blip r:embed="rId20"/>
                    <a:stretch>
                      <a:fillRect/>
                    </a:stretch>
                  </pic:blipFill>
                  <pic:spPr>
                    <a:xfrm>
                      <a:off x="0" y="0"/>
                      <a:ext cx="4860290" cy="2879725"/>
                    </a:xfrm>
                    <a:prstGeom prst="rect">
                      <a:avLst/>
                    </a:prstGeom>
                    <a:noFill/>
                    <a:ln>
                      <a:noFill/>
                    </a:ln>
                  </pic:spPr>
                </pic:pic>
              </a:graphicData>
            </a:graphic>
          </wp:inline>
        </w:drawing>
      </w:r>
    </w:p>
    <w:p>
      <w:pPr>
        <w:pStyle w:val="126"/>
        <w:numPr>
          <w:ilvl w:val="0"/>
          <w:numId w:val="0"/>
        </w:numPr>
        <w:spacing w:after="180"/>
        <w:jc w:val="center"/>
      </w:pPr>
      <w:r>
        <w:rPr>
          <w:rFonts w:hint="eastAsia"/>
        </w:rPr>
        <w:t>Fig.A-4</w:t>
      </w:r>
      <w:r>
        <w:t>.</w:t>
      </w:r>
      <w:r>
        <w:rPr>
          <w:rFonts w:hint="eastAsia"/>
        </w:rPr>
        <w:t xml:space="preserve"> Link level simulation results</w:t>
      </w:r>
      <w:r>
        <w:t xml:space="preserve"> </w:t>
      </w:r>
      <w:r>
        <w:rPr>
          <w:rFonts w:hint="eastAsia"/>
        </w:rPr>
        <w:t>(2GHz)</w:t>
      </w:r>
    </w:p>
    <w:p>
      <w:pPr>
        <w:pStyle w:val="3"/>
      </w:pPr>
      <w:r>
        <w:rPr>
          <w:rFonts w:hint="eastAsia"/>
        </w:rPr>
        <w:t>A</w:t>
      </w:r>
      <w:r>
        <w:t>greements made in RAN1</w:t>
      </w:r>
      <w:r>
        <w:rPr>
          <w:rFonts w:hint="eastAsia"/>
          <w:lang w:val="en-US" w:eastAsia="zh-CN"/>
        </w:rPr>
        <w:t xml:space="preserve"> </w:t>
      </w:r>
      <w:r>
        <w:t>#103e</w:t>
      </w:r>
    </w:p>
    <w:p>
      <w:pPr>
        <w:snapToGrid w:val="0"/>
        <w:spacing w:after="60"/>
        <w:rPr>
          <w:rFonts w:ascii="宋体" w:hAnsi="宋体"/>
          <w:highlight w:val="green"/>
        </w:rPr>
      </w:pPr>
      <w:r>
        <w:rPr>
          <w:highlight w:val="green"/>
        </w:rPr>
        <w:t>Agreements:</w:t>
      </w:r>
    </w:p>
    <w:p>
      <w:pPr>
        <w:snapToGrid w:val="0"/>
        <w:spacing w:after="60"/>
      </w:pPr>
      <w:r>
        <w:t>Further study multi-cell PDSCH scheduling via a single DCI with below simulation assumptions:</w:t>
      </w:r>
    </w:p>
    <w:p>
      <w:pPr>
        <w:snapToGrid w:val="0"/>
        <w:spacing w:after="60"/>
      </w:pPr>
      <w:r>
        <w:t>                                     Table 1: Link level simulation assumptions</w:t>
      </w:r>
    </w:p>
    <w:tbl>
      <w:tblPr>
        <w:tblStyle w:val="50"/>
        <w:tblW w:w="9468" w:type="dxa"/>
        <w:tblInd w:w="0" w:type="dxa"/>
        <w:tblLayout w:type="fixed"/>
        <w:tblCellMar>
          <w:top w:w="0" w:type="dxa"/>
          <w:left w:w="0" w:type="dxa"/>
          <w:bottom w:w="0" w:type="dxa"/>
          <w:right w:w="0" w:type="dxa"/>
        </w:tblCellMar>
      </w:tblPr>
      <w:tblGrid>
        <w:gridCol w:w="3618"/>
        <w:gridCol w:w="5850"/>
      </w:tblGrid>
      <w:tr>
        <w:tblPrEx>
          <w:tblCellMar>
            <w:top w:w="0" w:type="dxa"/>
            <w:left w:w="0" w:type="dxa"/>
            <w:bottom w:w="0" w:type="dxa"/>
            <w:right w:w="0" w:type="dxa"/>
          </w:tblCellMar>
        </w:tblPrEx>
        <w:tc>
          <w:tcPr>
            <w:tcW w:w="3618"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snapToGrid w:val="0"/>
            </w:pPr>
            <w:r>
              <w:rPr>
                <w:b/>
                <w:bCs/>
                <w:lang w:eastAsia="sv-SE"/>
              </w:rPr>
              <w:t>Parameters</w:t>
            </w:r>
          </w:p>
        </w:tc>
        <w:tc>
          <w:tcPr>
            <w:tcW w:w="5850" w:type="dxa"/>
            <w:tcBorders>
              <w:top w:val="single" w:color="000000" w:sz="8" w:space="0"/>
              <w:left w:val="nil"/>
              <w:bottom w:val="single" w:color="000000" w:sz="8" w:space="0"/>
              <w:right w:val="single" w:color="000000" w:sz="8" w:space="0"/>
            </w:tcBorders>
            <w:shd w:val="clear" w:color="auto" w:fill="D9D9D9"/>
            <w:tcMar>
              <w:top w:w="0" w:type="dxa"/>
              <w:left w:w="108" w:type="dxa"/>
              <w:bottom w:w="0" w:type="dxa"/>
              <w:right w:w="108" w:type="dxa"/>
            </w:tcMar>
          </w:tcPr>
          <w:p>
            <w:pPr>
              <w:snapToGrid w:val="0"/>
            </w:pPr>
            <w:r>
              <w:rPr>
                <w:b/>
                <w:bCs/>
                <w:color w:val="000000"/>
                <w:lang w:eastAsia="sv-SE"/>
              </w:rPr>
              <w:t>Values</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snapToGrid w:val="0"/>
            </w:pPr>
            <w:r>
              <w:rPr>
                <w:lang w:eastAsia="sv-SE"/>
              </w:rPr>
              <w:t>Carrier frequency</w:t>
            </w:r>
          </w:p>
        </w:tc>
        <w:tc>
          <w:tcPr>
            <w:tcW w:w="5850" w:type="dxa"/>
            <w:tcBorders>
              <w:top w:val="nil"/>
              <w:left w:val="nil"/>
              <w:bottom w:val="single" w:color="000000" w:sz="8" w:space="0"/>
              <w:right w:val="single" w:color="000000" w:sz="8" w:space="0"/>
            </w:tcBorders>
            <w:tcMar>
              <w:top w:w="0" w:type="dxa"/>
              <w:left w:w="108" w:type="dxa"/>
              <w:bottom w:w="0" w:type="dxa"/>
              <w:right w:w="108" w:type="dxa"/>
            </w:tcMar>
          </w:tcPr>
          <w:p>
            <w:pPr>
              <w:snapToGrid w:val="0"/>
            </w:pPr>
            <w:r>
              <w:rPr>
                <w:highlight w:val="yellow"/>
                <w:lang w:eastAsia="ko-KR"/>
              </w:rPr>
              <w:t xml:space="preserve">Option 1: </w:t>
            </w:r>
          </w:p>
          <w:p>
            <w:pPr>
              <w:snapToGrid w:val="0"/>
            </w:pPr>
            <w:r>
              <w:rPr>
                <w:highlight w:val="yellow"/>
                <w:lang w:eastAsia="ko-KR"/>
              </w:rPr>
              <w:t>Inter-band CA (700MHz + 4GHz)</w:t>
            </w:r>
          </w:p>
          <w:p>
            <w:pPr>
              <w:snapToGrid w:val="0"/>
            </w:pPr>
            <w:r>
              <w:rPr>
                <w:highlight w:val="yellow"/>
                <w:lang w:eastAsia="ko-KR"/>
              </w:rPr>
              <w:t>Intra-band CA (2GHz)</w:t>
            </w:r>
          </w:p>
          <w:p>
            <w:pPr>
              <w:snapToGrid w:val="0"/>
            </w:pPr>
            <w:r>
              <w:rPr>
                <w:highlight w:val="yellow"/>
                <w:lang w:eastAsia="ko-KR"/>
              </w:rPr>
              <w:t> </w:t>
            </w:r>
          </w:p>
          <w:p>
            <w:pPr>
              <w:snapToGrid w:val="0"/>
            </w:pPr>
            <w:r>
              <w:rPr>
                <w:highlight w:val="yellow"/>
                <w:lang w:eastAsia="ko-KR"/>
              </w:rPr>
              <w:t>Option 2:</w:t>
            </w:r>
          </w:p>
          <w:p>
            <w:pPr>
              <w:snapToGrid w:val="0"/>
            </w:pPr>
            <w:r>
              <w:rPr>
                <w:highlight w:val="yellow"/>
                <w:lang w:eastAsia="ko-KR"/>
              </w:rPr>
              <w:t>Only 4GHz is considered</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snapToGrid w:val="0"/>
            </w:pPr>
            <w:r>
              <w:rPr>
                <w:lang w:eastAsia="sv-SE"/>
              </w:rPr>
              <w:t>SCS</w:t>
            </w:r>
          </w:p>
        </w:tc>
        <w:tc>
          <w:tcPr>
            <w:tcW w:w="5850" w:type="dxa"/>
            <w:tcBorders>
              <w:top w:val="nil"/>
              <w:left w:val="nil"/>
              <w:bottom w:val="single" w:color="000000" w:sz="8" w:space="0"/>
              <w:right w:val="single" w:color="000000" w:sz="8" w:space="0"/>
            </w:tcBorders>
            <w:tcMar>
              <w:top w:w="0" w:type="dxa"/>
              <w:left w:w="108" w:type="dxa"/>
              <w:bottom w:w="0" w:type="dxa"/>
              <w:right w:w="108" w:type="dxa"/>
            </w:tcMar>
          </w:tcPr>
          <w:p>
            <w:pPr>
              <w:snapToGrid w:val="0"/>
            </w:pPr>
            <w:r>
              <w:rPr>
                <w:highlight w:val="yellow"/>
                <w:lang w:eastAsia="ko-KR"/>
              </w:rPr>
              <w:t>15 kHz for 700MHz/2GHz</w:t>
            </w:r>
          </w:p>
          <w:p>
            <w:pPr>
              <w:snapToGrid w:val="0"/>
            </w:pPr>
            <w:r>
              <w:rPr>
                <w:highlight w:val="yellow"/>
                <w:lang w:eastAsia="ko-KR"/>
              </w:rPr>
              <w:t>30 kHz for 4GHz</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snapToGrid w:val="0"/>
            </w:pPr>
            <w:r>
              <w:rPr>
                <w:lang w:eastAsia="ko-KR"/>
              </w:rPr>
              <w:t xml:space="preserve">Bandwidth </w:t>
            </w:r>
          </w:p>
        </w:tc>
        <w:tc>
          <w:tcPr>
            <w:tcW w:w="5850" w:type="dxa"/>
            <w:tcBorders>
              <w:top w:val="nil"/>
              <w:left w:val="nil"/>
              <w:bottom w:val="single" w:color="000000" w:sz="8" w:space="0"/>
              <w:right w:val="single" w:color="000000" w:sz="8" w:space="0"/>
            </w:tcBorders>
            <w:tcMar>
              <w:top w:w="0" w:type="dxa"/>
              <w:left w:w="108" w:type="dxa"/>
              <w:bottom w:w="0" w:type="dxa"/>
              <w:right w:w="108" w:type="dxa"/>
            </w:tcMar>
          </w:tcPr>
          <w:p>
            <w:pPr>
              <w:snapToGrid w:val="0"/>
            </w:pPr>
            <w:r>
              <w:rPr>
                <w:highlight w:val="yellow"/>
                <w:lang w:eastAsia="ko-KR"/>
              </w:rPr>
              <w:t>Option 1:</w:t>
            </w:r>
          </w:p>
          <w:p>
            <w:pPr>
              <w:snapToGrid w:val="0"/>
            </w:pPr>
            <w:r>
              <w:rPr>
                <w:highlight w:val="yellow"/>
                <w:lang w:eastAsia="ko-KR"/>
              </w:rPr>
              <w:t>Baseline: PCell 10MHz + SCell 10/40MHz</w:t>
            </w:r>
          </w:p>
          <w:p>
            <w:pPr>
              <w:snapToGrid w:val="0"/>
            </w:pPr>
            <w:r>
              <w:rPr>
                <w:highlight w:val="yellow"/>
                <w:lang w:eastAsia="ko-KR"/>
              </w:rPr>
              <w:t>Optional: PCell 20MHz + SCell 20/40/100MHz</w:t>
            </w:r>
          </w:p>
          <w:p>
            <w:pPr>
              <w:snapToGrid w:val="0"/>
            </w:pPr>
            <w:r>
              <w:rPr>
                <w:highlight w:val="yellow"/>
                <w:lang w:eastAsia="ko-KR"/>
              </w:rPr>
              <w:t> </w:t>
            </w:r>
          </w:p>
          <w:p>
            <w:pPr>
              <w:snapToGrid w:val="0"/>
            </w:pPr>
            <w:r>
              <w:rPr>
                <w:highlight w:val="yellow"/>
                <w:lang w:eastAsia="ko-KR"/>
              </w:rPr>
              <w:t>Option 2:</w:t>
            </w:r>
          </w:p>
          <w:p>
            <w:pPr>
              <w:snapToGrid w:val="0"/>
            </w:pPr>
            <w:r>
              <w:rPr>
                <w:highlight w:val="yellow"/>
                <w:lang w:eastAsia="ko-KR"/>
              </w:rPr>
              <w:t>Baseline: Scheduling cell 100 MHz</w:t>
            </w:r>
          </w:p>
          <w:p>
            <w:pPr>
              <w:snapToGrid w:val="0"/>
            </w:pPr>
            <w:r>
              <w:rPr>
                <w:highlight w:val="yellow"/>
                <w:lang w:eastAsia="ko-KR"/>
              </w:rPr>
              <w:t>Optional: Scheduling cell 20 MHz</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Channel model</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TDL-C</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t>Delay spread</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t>300 ns</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Number of symbols for CORESET</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highlight w:val="yellow"/>
                <w:lang w:eastAsia="ko-KR"/>
              </w:rPr>
              <w:t>[1],</w:t>
            </w:r>
            <w:r>
              <w:rPr>
                <w:lang w:eastAsia="ko-KR"/>
              </w:rPr>
              <w:t xml:space="preserve"> 2 or 3</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CORESET BW (contiguous PRB allocation)</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highlight w:val="yellow"/>
                <w:lang w:eastAsia="ko-KR"/>
              </w:rPr>
              <w:t>24/48/96 RBs depending on the bandwidth</w:t>
            </w:r>
            <w:r>
              <w:rPr>
                <w:lang w:eastAsia="ko-KR"/>
              </w:rPr>
              <w:t xml:space="preserve"> </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CCE-to-REG mapping</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Interleaved</w:t>
            </w:r>
            <w:r>
              <w:rPr>
                <w:color w:val="000000"/>
                <w:highlight w:val="yellow"/>
                <w:lang w:eastAsia="ko-KR"/>
              </w:rPr>
              <w:t>, [non-interleaved]</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REG bundle size</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6</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Interleaver size</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2</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snapToGrid w:val="0"/>
            </w:pPr>
            <w:r>
              <w:rPr>
                <w:lang w:eastAsia="ko-KR"/>
              </w:rPr>
              <w:t>DCI payload size (excluding CRC)</w:t>
            </w:r>
          </w:p>
        </w:tc>
        <w:tc>
          <w:tcPr>
            <w:tcW w:w="5850" w:type="dxa"/>
            <w:tcBorders>
              <w:top w:val="nil"/>
              <w:left w:val="nil"/>
              <w:bottom w:val="single" w:color="000000" w:sz="8" w:space="0"/>
              <w:right w:val="single" w:color="000000" w:sz="8" w:space="0"/>
            </w:tcBorders>
            <w:tcMar>
              <w:top w:w="0" w:type="dxa"/>
              <w:left w:w="108" w:type="dxa"/>
              <w:bottom w:w="0" w:type="dxa"/>
              <w:right w:w="108" w:type="dxa"/>
            </w:tcMar>
          </w:tcPr>
          <w:p>
            <w:pPr>
              <w:snapToGrid w:val="0"/>
            </w:pPr>
            <w:r>
              <w:rPr>
                <w:lang w:eastAsia="ko-KR"/>
              </w:rPr>
              <w:t>Single PDSCH scheduling: 60 bits as baseline payload size</w:t>
            </w:r>
          </w:p>
          <w:p>
            <w:pPr>
              <w:snapToGrid w:val="0"/>
            </w:pPr>
            <w:r>
              <w:rPr>
                <w:lang w:eastAsia="ko-KR"/>
              </w:rPr>
              <w:t xml:space="preserve">Multi-cell PDSCH scheduling: </w:t>
            </w:r>
            <w:r>
              <w:rPr>
                <w:highlight w:val="yellow"/>
                <w:lang w:eastAsia="ko-KR"/>
              </w:rPr>
              <w:t>72/84/96/104</w:t>
            </w:r>
            <w:r>
              <w:rPr>
                <w:lang w:eastAsia="ko-KR"/>
              </w:rPr>
              <w:t xml:space="preserve"> bits</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snapToGrid w:val="0"/>
            </w:pPr>
            <w:r>
              <w:rPr>
                <w:lang w:eastAsia="ko-KR"/>
              </w:rPr>
              <w:t>BLER target for multi-cell scheduling DCI</w:t>
            </w:r>
          </w:p>
        </w:tc>
        <w:tc>
          <w:tcPr>
            <w:tcW w:w="5850" w:type="dxa"/>
            <w:tcBorders>
              <w:top w:val="nil"/>
              <w:left w:val="nil"/>
              <w:bottom w:val="single" w:color="000000" w:sz="8" w:space="0"/>
              <w:right w:val="single" w:color="000000" w:sz="8" w:space="0"/>
            </w:tcBorders>
            <w:tcMar>
              <w:top w:w="0" w:type="dxa"/>
              <w:left w:w="108" w:type="dxa"/>
              <w:bottom w:w="0" w:type="dxa"/>
              <w:right w:w="108" w:type="dxa"/>
            </w:tcMar>
          </w:tcPr>
          <w:p>
            <w:pPr>
              <w:snapToGrid w:val="0"/>
            </w:pPr>
            <w:r>
              <w:rPr>
                <w:highlight w:val="yellow"/>
                <w:lang w:eastAsia="ko-KR"/>
              </w:rPr>
              <w:t>Option 1: 1%</w:t>
            </w:r>
          </w:p>
          <w:p>
            <w:pPr>
              <w:snapToGrid w:val="0"/>
            </w:pPr>
            <w:r>
              <w:rPr>
                <w:highlight w:val="yellow"/>
                <w:lang w:eastAsia="ko-KR"/>
              </w:rPr>
              <w:t>Option 2: 0.5%</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Number of BS antennas</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rPr>
                <w:highlight w:val="yellow"/>
              </w:rPr>
            </w:pPr>
            <w:r>
              <w:rPr>
                <w:highlight w:val="yellow"/>
                <w:lang w:eastAsia="ko-KR"/>
              </w:rPr>
              <w:t xml:space="preserve">2 Tx for 700MHz/2GHz carrier frequency </w:t>
            </w:r>
          </w:p>
          <w:p>
            <w:pPr>
              <w:snapToGrid w:val="0"/>
            </w:pPr>
            <w:r>
              <w:rPr>
                <w:highlight w:val="yellow"/>
                <w:lang w:eastAsia="ko-KR"/>
              </w:rPr>
              <w:t>4 Tx for 4GHz</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Number of UE antennas</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rPr>
                <w:highlight w:val="yellow"/>
              </w:rPr>
            </w:pPr>
            <w:r>
              <w:rPr>
                <w:color w:val="000000"/>
                <w:highlight w:val="yellow"/>
                <w:lang w:eastAsia="ko-KR"/>
              </w:rPr>
              <w:t xml:space="preserve">2 Rx for </w:t>
            </w:r>
            <w:r>
              <w:rPr>
                <w:highlight w:val="yellow"/>
                <w:lang w:eastAsia="ko-KR"/>
              </w:rPr>
              <w:t>700MHz/2GHz carrier frequency</w:t>
            </w:r>
          </w:p>
          <w:p>
            <w:pPr>
              <w:snapToGrid w:val="0"/>
            </w:pPr>
            <w:r>
              <w:rPr>
                <w:highlight w:val="yellow"/>
                <w:lang w:eastAsia="ko-KR"/>
              </w:rPr>
              <w:t>4 Rx for 4GHz carrier frequency</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Modulation</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QPSK</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pPr>
              <w:snapToGrid w:val="0"/>
            </w:pPr>
            <w:r>
              <w:rPr>
                <w:lang w:eastAsia="ko-KR"/>
              </w:rPr>
              <w:t>Channel coding</w:t>
            </w:r>
          </w:p>
        </w:tc>
        <w:tc>
          <w:tcPr>
            <w:tcW w:w="5850" w:type="dxa"/>
            <w:tcBorders>
              <w:top w:val="nil"/>
              <w:left w:val="nil"/>
              <w:bottom w:val="single" w:color="000000" w:sz="8" w:space="0"/>
              <w:right w:val="single" w:color="000000" w:sz="8" w:space="0"/>
            </w:tcBorders>
            <w:tcMar>
              <w:top w:w="0" w:type="dxa"/>
              <w:left w:w="108" w:type="dxa"/>
              <w:bottom w:w="0" w:type="dxa"/>
              <w:right w:w="108" w:type="dxa"/>
            </w:tcMar>
          </w:tcPr>
          <w:p>
            <w:pPr>
              <w:snapToGrid w:val="0"/>
            </w:pPr>
            <w:r>
              <w:rPr>
                <w:lang w:eastAsia="ko-KR"/>
              </w:rPr>
              <w:t>Polar code</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UE speed</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lang w:eastAsia="ko-KR"/>
              </w:rPr>
              <w:t>3km/h</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Aggregation level</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1/2/4/8/16</w:t>
            </w:r>
          </w:p>
        </w:tc>
      </w:tr>
      <w:tr>
        <w:tblPrEx>
          <w:tblCellMar>
            <w:top w:w="0" w:type="dxa"/>
            <w:left w:w="0" w:type="dxa"/>
            <w:bottom w:w="0" w:type="dxa"/>
            <w:right w:w="0" w:type="dxa"/>
          </w:tblCellMar>
        </w:tblPrEx>
        <w:tc>
          <w:tcPr>
            <w:tcW w:w="3618"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Tx Diversity</w:t>
            </w:r>
          </w:p>
        </w:tc>
        <w:tc>
          <w:tcPr>
            <w:tcW w:w="5850" w:type="dxa"/>
            <w:tcBorders>
              <w:top w:val="nil"/>
              <w:left w:val="nil"/>
              <w:bottom w:val="single" w:color="000000" w:sz="8" w:space="0"/>
              <w:right w:val="single" w:color="000000" w:sz="8" w:space="0"/>
            </w:tcBorders>
            <w:tcMar>
              <w:top w:w="0" w:type="dxa"/>
              <w:left w:w="108" w:type="dxa"/>
              <w:bottom w:w="0" w:type="dxa"/>
              <w:right w:w="108" w:type="dxa"/>
            </w:tcMar>
            <w:vAlign w:val="center"/>
          </w:tcPr>
          <w:p>
            <w:pPr>
              <w:snapToGrid w:val="0"/>
            </w:pPr>
            <w:r>
              <w:rPr>
                <w:color w:val="000000"/>
                <w:lang w:eastAsia="ko-KR"/>
              </w:rPr>
              <w:t>One port precoder cycling</w:t>
            </w:r>
          </w:p>
        </w:tc>
      </w:tr>
    </w:tbl>
    <w:p>
      <w:pPr>
        <w:snapToGrid w:val="0"/>
        <w:spacing w:after="60"/>
        <w:rPr>
          <w:rFonts w:ascii="宋体" w:hAnsi="宋体" w:cs="Calibri"/>
        </w:rPr>
      </w:pPr>
      <w:r>
        <w:rPr>
          <w:color w:val="FF0000"/>
          <w:highlight w:val="yellow"/>
        </w:rPr>
        <w:t>Note 1: For two-cell scheduling via a single DCI, PDCCH transmitted on SCell schedules one PDSCH on the SCell and another PDSCH on PCell.</w:t>
      </w:r>
    </w:p>
    <w:p>
      <w:pPr>
        <w:snapToGrid w:val="0"/>
        <w:spacing w:after="60"/>
        <w:rPr>
          <w:color w:val="FF0000"/>
        </w:rPr>
      </w:pPr>
      <w:r>
        <w:rPr>
          <w:color w:val="FF0000"/>
          <w:highlight w:val="yellow"/>
        </w:rPr>
        <w:t>Note 2: For comparison, for single-cell scheduling, one PDCCH transmitted on SCell schedules one PDSCH on the SCell via self-scheduling and another PDCCH transmitted on the SCell schedules another PDSCH on PCell via cross-carrier scheduling.</w:t>
      </w:r>
    </w:p>
    <w:p>
      <w:pPr>
        <w:snapToGrid w:val="0"/>
        <w:spacing w:after="60"/>
      </w:pPr>
      <w:r>
        <w:rPr>
          <w:color w:val="FF0000"/>
        </w:rPr>
        <w:t>Further discussion which rows are applicable to the scheduling cell/the scheduled cell for PDCCH</w:t>
      </w:r>
    </w:p>
    <w:p>
      <w:pPr>
        <w:rPr>
          <w:color w:val="2F5496"/>
        </w:rPr>
      </w:pPr>
    </w:p>
    <w:p>
      <w:r>
        <w:rPr>
          <w:highlight w:val="green"/>
        </w:rPr>
        <w:t>Agreements</w:t>
      </w:r>
      <w:r>
        <w:t>: Further study with below simulation assumptions:</w:t>
      </w:r>
    </w:p>
    <w:p>
      <w:r>
        <w:t>Simulation scenarios:</w:t>
      </w:r>
    </w:p>
    <w:p>
      <w:pPr>
        <w:pStyle w:val="114"/>
        <w:numPr>
          <w:ilvl w:val="0"/>
          <w:numId w:val="11"/>
        </w:numPr>
        <w:snapToGrid w:val="0"/>
        <w:spacing w:after="0"/>
        <w:rPr>
          <w:lang w:eastAsia="ko-KR"/>
        </w:rPr>
      </w:pPr>
      <w:r>
        <w:t>For two-cell scheduling via a single DCI, PDCCH transmitted on a first cell schedules one PDSCH on the first cell and another PDSCH on a second cell.</w:t>
      </w:r>
    </w:p>
    <w:p>
      <w:pPr>
        <w:pStyle w:val="114"/>
        <w:numPr>
          <w:ilvl w:val="0"/>
          <w:numId w:val="11"/>
        </w:numPr>
        <w:snapToGrid w:val="0"/>
        <w:spacing w:after="0"/>
      </w:pPr>
      <w:r>
        <w:t>For single-cell scheduling (baseline), one PDCCH transmitted on a first cell schedules one PDSCH on the first cell via self-scheduling and another PDCCH transmitted on the first cell schedules another PDSCH on a second cell via cross-carrier scheduling.</w:t>
      </w:r>
    </w:p>
    <w:p>
      <w:pPr>
        <w:numPr>
          <w:ilvl w:val="1"/>
          <w:numId w:val="11"/>
        </w:numPr>
        <w:snapToGrid w:val="0"/>
        <w:rPr>
          <w:color w:val="000000"/>
        </w:rPr>
      </w:pPr>
      <w:r>
        <w:rPr>
          <w:color w:val="000000"/>
        </w:rPr>
        <w:t>Companies can optionally compare to the case of PDCCH transmitted on each of the two cells via self-scheduling. In this case, company should provide details on how to calculate the PDCCH blocking rate.</w:t>
      </w:r>
    </w:p>
    <w:p>
      <w:r>
        <w:t>Simulation assumptions on carrier frequency, SCS, antenna configuration, carrier bandwidth as well as CORESET configuration</w:t>
      </w:r>
    </w:p>
    <w:p>
      <w:pPr>
        <w:pStyle w:val="114"/>
        <w:numPr>
          <w:ilvl w:val="0"/>
          <w:numId w:val="11"/>
        </w:numPr>
        <w:snapToGrid w:val="0"/>
        <w:spacing w:after="0"/>
        <w:rPr>
          <w:lang w:eastAsia="ko-KR"/>
        </w:rPr>
      </w:pPr>
      <w:r>
        <w:t>Combination 1: 2 GHz, 15 kHz SCS, 2 Tx, 2 Rx, 20 MHz carrier BW, 2-symbol CORESET with 96RBs</w:t>
      </w:r>
    </w:p>
    <w:p>
      <w:pPr>
        <w:pStyle w:val="114"/>
        <w:numPr>
          <w:ilvl w:val="0"/>
          <w:numId w:val="11"/>
        </w:numPr>
        <w:snapToGrid w:val="0"/>
        <w:spacing w:after="0"/>
      </w:pPr>
      <w:r>
        <w:t>Combination 2: 4 GHz, 30 kHz SCS, 4 Tx, 4 Rx, 100 MHz carrier BW, 1-symbol CORESET with 270RBs</w:t>
      </w:r>
    </w:p>
    <w:p>
      <w:pPr>
        <w:pStyle w:val="114"/>
        <w:numPr>
          <w:ilvl w:val="0"/>
          <w:numId w:val="11"/>
        </w:numPr>
        <w:snapToGrid w:val="0"/>
        <w:spacing w:after="0"/>
      </w:pPr>
      <w:r>
        <w:rPr>
          <w:color w:val="000000"/>
        </w:rPr>
        <w:t>[</w:t>
      </w:r>
      <w:r>
        <w:t xml:space="preserve">Combination 3: 700MHz, 15 kHz SCS, 2 Tx, 2 Rx, 10 MHz carrier BW, </w:t>
      </w:r>
      <w:r>
        <w:rPr>
          <w:color w:val="FF0000"/>
        </w:rPr>
        <w:t>3-</w:t>
      </w:r>
      <w:r>
        <w:t>symbol CORESET with 48RBs]</w:t>
      </w:r>
    </w:p>
    <w:p>
      <w:pPr>
        <w:pStyle w:val="114"/>
        <w:numPr>
          <w:ilvl w:val="0"/>
          <w:numId w:val="11"/>
        </w:numPr>
        <w:snapToGrid w:val="0"/>
        <w:spacing w:after="0"/>
      </w:pPr>
      <w:r>
        <w:t>[Combination 4: 4GHz, 30 kHz SCS, 4 Tx, 4 Rx, 40 MHz carrier BW, 2-symbol CORESET with 96RBs]</w:t>
      </w:r>
    </w:p>
    <w:p/>
    <w:p>
      <w:r>
        <w:t>Payload size of two-cell scheduling DCI (excluding CRC):</w:t>
      </w:r>
    </w:p>
    <w:p>
      <w:pPr>
        <w:pStyle w:val="114"/>
        <w:numPr>
          <w:ilvl w:val="0"/>
          <w:numId w:val="12"/>
        </w:numPr>
        <w:snapToGrid w:val="0"/>
        <w:spacing w:after="0"/>
        <w:rPr>
          <w:lang w:eastAsia="ko-KR"/>
        </w:rPr>
      </w:pPr>
      <w:r>
        <w:t>60 for single-cell scheduling DCI (baseline).</w:t>
      </w:r>
    </w:p>
    <w:p>
      <w:pPr>
        <w:pStyle w:val="114"/>
        <w:numPr>
          <w:ilvl w:val="0"/>
          <w:numId w:val="12"/>
        </w:numPr>
        <w:snapToGrid w:val="0"/>
        <w:spacing w:after="0"/>
      </w:pPr>
      <w:r>
        <w:t>72/84/96/108 for two-cell scheduling DCI.</w:t>
      </w:r>
    </w:p>
    <w:p>
      <w:pPr>
        <w:pStyle w:val="114"/>
        <w:numPr>
          <w:ilvl w:val="1"/>
          <w:numId w:val="12"/>
        </w:numPr>
        <w:snapToGrid w:val="0"/>
        <w:spacing w:after="0"/>
      </w:pPr>
      <w:r>
        <w:t xml:space="preserve">Companies are encouraged to report how the values are obtained, e.g., via separate or shared fields in DCI format. </w:t>
      </w:r>
    </w:p>
    <w:p>
      <w:r>
        <w:t>Target BLER for two-cell scheduling DCI: 1% (baseline), 0.5%(optional)</w:t>
      </w:r>
    </w:p>
    <w:p>
      <w:r>
        <w:t xml:space="preserve">Regarding the </w:t>
      </w:r>
      <w:r>
        <w:rPr>
          <w:color w:val="000000"/>
        </w:rPr>
        <w:t>CCE-to-REG mapping</w:t>
      </w:r>
      <w:r>
        <w:t xml:space="preserve">, based on the agreed interleaved CCE-to-REG mapping, </w:t>
      </w:r>
      <w:r>
        <w:rPr>
          <w:lang w:eastAsia="ja-JP"/>
        </w:rPr>
        <w:t>whether to adopt non-interleaved CCE-to-REG mapping is up to the proponent.</w:t>
      </w:r>
    </w:p>
    <w:p>
      <w:pPr>
        <w:rPr>
          <w:highlight w:val="green"/>
        </w:rPr>
      </w:pPr>
      <w:r>
        <w:rPr>
          <w:color w:val="000000"/>
          <w:highlight w:val="green"/>
          <w:shd w:val="clear" w:color="auto" w:fill="00FFFF"/>
        </w:rPr>
        <w:t>Agreements:</w:t>
      </w:r>
    </w:p>
    <w:p>
      <w:pPr>
        <w:pStyle w:val="114"/>
        <w:numPr>
          <w:ilvl w:val="0"/>
          <w:numId w:val="11"/>
        </w:numPr>
        <w:snapToGrid w:val="0"/>
        <w:spacing w:after="0"/>
      </w:pPr>
      <w:r>
        <w:t>Further study with below simulation assumptions:</w:t>
      </w:r>
    </w:p>
    <w:p>
      <w:pPr>
        <w:jc w:val="center"/>
        <w:rPr>
          <w:rFonts w:eastAsia="Calibri"/>
        </w:rPr>
      </w:pPr>
      <w:r>
        <w:t>Table 2: System level simulation assumptions</w:t>
      </w:r>
    </w:p>
    <w:tbl>
      <w:tblPr>
        <w:tblStyle w:val="50"/>
        <w:tblW w:w="7370" w:type="dxa"/>
        <w:jc w:val="center"/>
        <w:tblLayout w:type="fixed"/>
        <w:tblCellMar>
          <w:top w:w="0" w:type="dxa"/>
          <w:left w:w="0" w:type="dxa"/>
          <w:bottom w:w="0" w:type="dxa"/>
          <w:right w:w="0" w:type="dxa"/>
        </w:tblCellMar>
      </w:tblPr>
      <w:tblGrid>
        <w:gridCol w:w="2530"/>
        <w:gridCol w:w="4840"/>
      </w:tblGrid>
      <w:tr>
        <w:tblPrEx>
          <w:tblCellMar>
            <w:top w:w="0" w:type="dxa"/>
            <w:left w:w="0" w:type="dxa"/>
            <w:bottom w:w="0" w:type="dxa"/>
            <w:right w:w="0" w:type="dxa"/>
          </w:tblCellMar>
        </w:tblPrEx>
        <w:trPr>
          <w:trHeight w:val="20" w:hRule="atLeast"/>
          <w:jc w:val="center"/>
        </w:trPr>
        <w:tc>
          <w:tcPr>
            <w:tcW w:w="253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jc w:val="center"/>
              <w:rPr>
                <w:rFonts w:ascii="Arial" w:hAnsi="Arial" w:cs="Arial"/>
                <w:b/>
                <w:bCs/>
                <w:sz w:val="16"/>
                <w:szCs w:val="16"/>
                <w:lang w:eastAsia="ko-KR"/>
              </w:rPr>
            </w:pPr>
            <w:r>
              <w:rPr>
                <w:rFonts w:ascii="Arial" w:hAnsi="Arial" w:cs="Arial"/>
                <w:b/>
                <w:bCs/>
                <w:sz w:val="16"/>
                <w:szCs w:val="16"/>
              </w:rPr>
              <w:t>Parameters</w:t>
            </w:r>
          </w:p>
        </w:tc>
        <w:tc>
          <w:tcPr>
            <w:tcW w:w="4840" w:type="dxa"/>
            <w:tcBorders>
              <w:top w:val="single" w:color="000000" w:sz="8" w:space="0"/>
              <w:left w:val="nil"/>
              <w:bottom w:val="single" w:color="000000" w:sz="8" w:space="0"/>
              <w:right w:val="single" w:color="000000" w:sz="8" w:space="0"/>
            </w:tcBorders>
            <w:tcMar>
              <w:top w:w="15" w:type="dxa"/>
              <w:left w:w="15" w:type="dxa"/>
              <w:bottom w:w="0" w:type="dxa"/>
              <w:right w:w="15" w:type="dxa"/>
            </w:tcMar>
            <w:vAlign w:val="center"/>
          </w:tcPr>
          <w:p>
            <w:pPr>
              <w:jc w:val="center"/>
              <w:rPr>
                <w:rFonts w:ascii="Arial" w:hAnsi="Arial" w:cs="Arial"/>
                <w:b/>
                <w:bCs/>
                <w:sz w:val="16"/>
                <w:szCs w:val="16"/>
              </w:rPr>
            </w:pPr>
            <w:r>
              <w:rPr>
                <w:rFonts w:ascii="Arial" w:hAnsi="Arial" w:cs="Arial"/>
                <w:b/>
                <w:bCs/>
                <w:sz w:val="16"/>
                <w:szCs w:val="16"/>
              </w:rPr>
              <w:t>Values</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Carrier frequency</w:t>
            </w:r>
          </w:p>
        </w:tc>
        <w:tc>
          <w:tcPr>
            <w:tcW w:w="4840" w:type="dxa"/>
            <w:vMerge w:val="restart"/>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 xml:space="preserve">For scheduling cell, follow agreed link level simulation assumptions </w:t>
            </w:r>
          </w:p>
          <w:p>
            <w:pPr>
              <w:rPr>
                <w:rFonts w:ascii="Arial" w:hAnsi="Arial" w:cs="Arial"/>
                <w:sz w:val="16"/>
                <w:szCs w:val="16"/>
              </w:rPr>
            </w:pPr>
            <w:r>
              <w:rPr>
                <w:rFonts w:ascii="Arial" w:hAnsi="Arial" w:cs="Arial"/>
                <w:sz w:val="16"/>
                <w:szCs w:val="16"/>
              </w:rPr>
              <w:t>For scheduled cell, consider 700MHz/2GHz with 10/20MHz BW (LTE overhead on DSS carrier can be optionally provided, up to proponent)</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tcPr>
          <w:p>
            <w:pPr>
              <w:rPr>
                <w:rFonts w:ascii="Arial" w:hAnsi="Arial" w:cs="Arial"/>
                <w:sz w:val="16"/>
                <w:szCs w:val="16"/>
              </w:rPr>
            </w:pPr>
            <w:r>
              <w:rPr>
                <w:rFonts w:ascii="Arial" w:hAnsi="Arial" w:cs="Arial"/>
                <w:sz w:val="16"/>
                <w:szCs w:val="16"/>
                <w:lang w:eastAsia="sv-SE"/>
              </w:rPr>
              <w:t>SCS</w:t>
            </w:r>
          </w:p>
        </w:tc>
        <w:tc>
          <w:tcPr>
            <w:tcW w:w="4840" w:type="dxa"/>
            <w:vMerge w:val="continue"/>
            <w:tcBorders>
              <w:top w:val="nil"/>
              <w:left w:val="nil"/>
              <w:bottom w:val="single" w:color="000000" w:sz="8" w:space="0"/>
              <w:right w:val="single" w:color="000000" w:sz="8" w:space="0"/>
            </w:tcBorders>
            <w:vAlign w:val="center"/>
          </w:tcPr>
          <w:p>
            <w:pPr>
              <w:rPr>
                <w:rFonts w:ascii="Arial" w:hAnsi="Arial" w:eastAsia="Calibri" w:cs="Arial"/>
                <w:sz w:val="16"/>
                <w:szCs w:val="16"/>
              </w:rPr>
            </w:pP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tcPr>
          <w:p>
            <w:pPr>
              <w:rPr>
                <w:rFonts w:ascii="Arial" w:hAnsi="Arial" w:cs="Arial"/>
                <w:sz w:val="16"/>
                <w:szCs w:val="16"/>
                <w:lang w:eastAsia="sv-SE"/>
              </w:rPr>
            </w:pPr>
            <w:r>
              <w:rPr>
                <w:rFonts w:ascii="Arial" w:hAnsi="Arial" w:cs="Arial"/>
                <w:sz w:val="16"/>
                <w:szCs w:val="16"/>
              </w:rPr>
              <w:t xml:space="preserve">Simulation bandwidth </w:t>
            </w:r>
          </w:p>
        </w:tc>
        <w:tc>
          <w:tcPr>
            <w:tcW w:w="4840" w:type="dxa"/>
            <w:vMerge w:val="continue"/>
            <w:tcBorders>
              <w:top w:val="nil"/>
              <w:left w:val="nil"/>
              <w:bottom w:val="single" w:color="000000" w:sz="8" w:space="0"/>
              <w:right w:val="single" w:color="000000" w:sz="8" w:space="0"/>
            </w:tcBorders>
            <w:vAlign w:val="center"/>
          </w:tcPr>
          <w:p>
            <w:pPr>
              <w:rPr>
                <w:rFonts w:ascii="Arial" w:hAnsi="Arial" w:eastAsia="Calibri" w:cs="Arial"/>
                <w:sz w:val="16"/>
                <w:szCs w:val="16"/>
              </w:rPr>
            </w:pP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lang w:eastAsia="ko-KR"/>
              </w:rPr>
            </w:pPr>
            <w:r>
              <w:rPr>
                <w:rFonts w:ascii="Arial" w:hAnsi="Arial" w:cs="Arial"/>
                <w:sz w:val="16"/>
                <w:szCs w:val="16"/>
              </w:rPr>
              <w:t>BS antenna height</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25 m</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UE height</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 xml:space="preserve">1.5m </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TRP transmit power</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46 dBm for 10MHz</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Scenario</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Urban Macro</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ISD</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500m</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TRP antenna configuration</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(M,N,P,Mg,Ng;Mp,Np)= (1,2,2,1,1;1,1) for 700MHz</w:t>
            </w:r>
          </w:p>
          <w:p>
            <w:pPr>
              <w:rPr>
                <w:rFonts w:ascii="Arial" w:hAnsi="Arial" w:cs="Arial"/>
                <w:sz w:val="16"/>
                <w:szCs w:val="16"/>
              </w:rPr>
            </w:pPr>
            <w:r>
              <w:rPr>
                <w:rFonts w:ascii="Arial" w:hAnsi="Arial" w:cs="Arial"/>
                <w:sz w:val="16"/>
                <w:szCs w:val="16"/>
              </w:rPr>
              <w:t>(M,N,P,Mg,Ng;Mp,Np)= (2,8,2,1,1;1,1) for 2GHz</w:t>
            </w:r>
          </w:p>
          <w:p>
            <w:pPr>
              <w:rPr>
                <w:rFonts w:ascii="Arial" w:hAnsi="Arial" w:cs="Arial"/>
                <w:sz w:val="16"/>
                <w:szCs w:val="16"/>
              </w:rPr>
            </w:pPr>
            <w:r>
              <w:rPr>
                <w:rFonts w:ascii="Arial" w:hAnsi="Arial" w:cs="Arial"/>
                <w:sz w:val="16"/>
                <w:szCs w:val="16"/>
              </w:rPr>
              <w:t>(M,N,P,Mg,Ng;Mp,Np)= (8,4,2,1,1;1,1) for 4GHz</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UE antenna configuration</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(M,N,P,Mg,Ng;Mp,Np)= (1,1,2,1,1;1,1) for 700MHz/2GHz</w:t>
            </w:r>
          </w:p>
          <w:p>
            <w:pPr>
              <w:rPr>
                <w:rFonts w:ascii="Arial" w:hAnsi="Arial" w:cs="Arial"/>
                <w:sz w:val="16"/>
                <w:szCs w:val="16"/>
              </w:rPr>
            </w:pPr>
            <w:r>
              <w:rPr>
                <w:rFonts w:ascii="Arial" w:hAnsi="Arial" w:cs="Arial"/>
                <w:sz w:val="16"/>
                <w:szCs w:val="16"/>
              </w:rPr>
              <w:t>(M,N,P,Mg,Ng;Mp,Np)= (1,2,2,1,1;1,1) for 4GHz</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Device deployment</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 xml:space="preserve">80% indoor, 20% outdoor </w:t>
            </w:r>
          </w:p>
        </w:tc>
      </w:tr>
      <w:tr>
        <w:tblPrEx>
          <w:tblCellMar>
            <w:top w:w="0" w:type="dxa"/>
            <w:left w:w="0" w:type="dxa"/>
            <w:bottom w:w="0" w:type="dxa"/>
            <w:right w:w="0" w:type="dxa"/>
          </w:tblCellMar>
        </w:tblPrEx>
        <w:trPr>
          <w:trHeight w:val="20" w:hRule="atLeast"/>
          <w:jc w:val="center"/>
        </w:trPr>
        <w:tc>
          <w:tcPr>
            <w:tcW w:w="2530" w:type="dxa"/>
            <w:vMerge w:val="restart"/>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UE speeds of interest</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Indoor users: 3km/h</w:t>
            </w:r>
          </w:p>
        </w:tc>
      </w:tr>
      <w:tr>
        <w:tblPrEx>
          <w:tblCellMar>
            <w:top w:w="0" w:type="dxa"/>
            <w:left w:w="0" w:type="dxa"/>
            <w:bottom w:w="0" w:type="dxa"/>
            <w:right w:w="0" w:type="dxa"/>
          </w:tblCellMar>
        </w:tblPrEx>
        <w:trPr>
          <w:trHeight w:val="20" w:hRule="atLeast"/>
          <w:jc w:val="center"/>
        </w:trPr>
        <w:tc>
          <w:tcPr>
            <w:tcW w:w="2530" w:type="dxa"/>
            <w:vMerge w:val="continue"/>
            <w:tcBorders>
              <w:top w:val="nil"/>
              <w:left w:val="single" w:color="000000" w:sz="8" w:space="0"/>
              <w:bottom w:val="single" w:color="000000" w:sz="8" w:space="0"/>
              <w:right w:val="single" w:color="000000" w:sz="8" w:space="0"/>
            </w:tcBorders>
            <w:vAlign w:val="center"/>
          </w:tcPr>
          <w:p>
            <w:pPr>
              <w:rPr>
                <w:rFonts w:ascii="Arial" w:hAnsi="Arial" w:eastAsia="Calibri" w:cs="Arial"/>
                <w:sz w:val="16"/>
                <w:szCs w:val="16"/>
              </w:rPr>
            </w:pP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Outdoor users (in-car): 30 km/h</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BS noise figure</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5 dB</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BS antenna element gain</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8 dBi</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UE noise figure</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9 dB</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Thermal noise level</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-174 dBm/Hz</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bottom"/>
          </w:tcPr>
          <w:p>
            <w:pPr>
              <w:rPr>
                <w:rFonts w:ascii="Arial" w:hAnsi="Arial" w:cs="Arial"/>
                <w:sz w:val="16"/>
                <w:szCs w:val="16"/>
              </w:rPr>
            </w:pPr>
            <w:r>
              <w:rPr>
                <w:rFonts w:ascii="Arial" w:hAnsi="Arial" w:cs="Arial"/>
                <w:sz w:val="16"/>
                <w:szCs w:val="16"/>
              </w:rPr>
              <w:t>Traffic</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bottom"/>
          </w:tcPr>
          <w:p>
            <w:pPr>
              <w:rPr>
                <w:rFonts w:ascii="Arial" w:hAnsi="Arial" w:cs="Arial"/>
                <w:sz w:val="16"/>
                <w:szCs w:val="16"/>
              </w:rPr>
            </w:pPr>
            <w:r>
              <w:rPr>
                <w:rFonts w:ascii="Arial" w:hAnsi="Arial" w:cs="Arial"/>
                <w:sz w:val="16"/>
                <w:szCs w:val="16"/>
              </w:rPr>
              <w:t>Full Buffer(baseline), FTP model 1 or 3 up to company</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Macro sites</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19</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Number of UEs per cell</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 xml:space="preserve">10/15/20 UEs  </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Downtilt</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102°</w:t>
            </w:r>
          </w:p>
        </w:tc>
      </w:tr>
      <w:tr>
        <w:tblPrEx>
          <w:tblCellMar>
            <w:top w:w="0" w:type="dxa"/>
            <w:left w:w="0" w:type="dxa"/>
            <w:bottom w:w="0" w:type="dxa"/>
            <w:right w:w="0" w:type="dxa"/>
          </w:tblCellMar>
        </w:tblPrEx>
        <w:trPr>
          <w:trHeight w:val="20" w:hRule="atLeast"/>
          <w:jc w:val="center"/>
        </w:trPr>
        <w:tc>
          <w:tcPr>
            <w:tcW w:w="253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Minimum BS to UE distance</w:t>
            </w:r>
          </w:p>
        </w:tc>
        <w:tc>
          <w:tcPr>
            <w:tcW w:w="4840" w:type="dxa"/>
            <w:tcBorders>
              <w:top w:val="nil"/>
              <w:left w:val="nil"/>
              <w:bottom w:val="single" w:color="000000" w:sz="8" w:space="0"/>
              <w:right w:val="single" w:color="000000" w:sz="8" w:space="0"/>
            </w:tcBorders>
            <w:tcMar>
              <w:top w:w="15" w:type="dxa"/>
              <w:left w:w="15" w:type="dxa"/>
              <w:bottom w:w="0" w:type="dxa"/>
              <w:right w:w="15" w:type="dxa"/>
            </w:tcMar>
            <w:vAlign w:val="center"/>
          </w:tcPr>
          <w:p>
            <w:pPr>
              <w:rPr>
                <w:rFonts w:ascii="Arial" w:hAnsi="Arial" w:cs="Arial"/>
                <w:sz w:val="16"/>
                <w:szCs w:val="16"/>
              </w:rPr>
            </w:pPr>
            <w:r>
              <w:rPr>
                <w:rFonts w:ascii="Arial" w:hAnsi="Arial" w:cs="Arial"/>
                <w:sz w:val="16"/>
                <w:szCs w:val="16"/>
              </w:rPr>
              <w:t>35m</w:t>
            </w:r>
          </w:p>
        </w:tc>
      </w:tr>
    </w:tbl>
    <w:p>
      <w:pPr>
        <w:pStyle w:val="126"/>
        <w:numPr>
          <w:ilvl w:val="0"/>
          <w:numId w:val="0"/>
        </w:num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KaiTi_GB2312">
    <w:altName w:val="Times New Roman"/>
    <w:panose1 w:val="02010609060101010101"/>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18</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EDCDFC"/>
    <w:multiLevelType w:val="singleLevel"/>
    <w:tmpl w:val="84EDCDFC"/>
    <w:lvl w:ilvl="0" w:tentative="0">
      <w:start w:val="1"/>
      <w:numFmt w:val="decimal"/>
      <w:suff w:val="space"/>
      <w:lvlText w:val="(%1)"/>
      <w:lvlJc w:val="left"/>
    </w:lvl>
  </w:abstractNum>
  <w:abstractNum w:abstractNumId="1">
    <w:nsid w:val="BB71EE06"/>
    <w:multiLevelType w:val="multilevel"/>
    <w:tmpl w:val="BB71EE0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4DDF2562"/>
    <w:multiLevelType w:val="multilevel"/>
    <w:tmpl w:val="4DDF2562"/>
    <w:lvl w:ilvl="0" w:tentative="0">
      <w:start w:val="8"/>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100169A"/>
    <w:multiLevelType w:val="multilevel"/>
    <w:tmpl w:val="6100169A"/>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6810743"/>
    <w:multiLevelType w:val="multilevel"/>
    <w:tmpl w:val="7681074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8"/>
  </w:num>
  <w:num w:numId="4">
    <w:abstractNumId w:val="4"/>
  </w:num>
  <w:num w:numId="5">
    <w:abstractNumId w:val="11"/>
  </w:num>
  <w:num w:numId="6">
    <w:abstractNumId w:val="7"/>
  </w:num>
  <w:num w:numId="7">
    <w:abstractNumId w:val="3"/>
  </w:num>
  <w:num w:numId="8">
    <w:abstractNumId w:val="10"/>
  </w:num>
  <w:num w:numId="9">
    <w:abstractNumId w:val="0"/>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A9C"/>
    <w:rsid w:val="00001F79"/>
    <w:rsid w:val="00001FC3"/>
    <w:rsid w:val="000022AF"/>
    <w:rsid w:val="00002375"/>
    <w:rsid w:val="0000253A"/>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9A8"/>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51C"/>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283"/>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1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D42"/>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AF6"/>
    <w:rsid w:val="00076408"/>
    <w:rsid w:val="0007661E"/>
    <w:rsid w:val="00077073"/>
    <w:rsid w:val="0007796D"/>
    <w:rsid w:val="00077A5C"/>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58B"/>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2FCB"/>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359"/>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3E5"/>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D9"/>
    <w:rsid w:val="002506F5"/>
    <w:rsid w:val="002508C7"/>
    <w:rsid w:val="00250D9C"/>
    <w:rsid w:val="00251117"/>
    <w:rsid w:val="002512A9"/>
    <w:rsid w:val="002515EA"/>
    <w:rsid w:val="0025169E"/>
    <w:rsid w:val="00251723"/>
    <w:rsid w:val="00251843"/>
    <w:rsid w:val="00251891"/>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8AB"/>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25A"/>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2E3"/>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7B0"/>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4BD"/>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5B5"/>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7C3"/>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84E"/>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3BA"/>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0D1"/>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2D"/>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08"/>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43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65E"/>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5CB2"/>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72F"/>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2B4"/>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360"/>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87"/>
    <w:rsid w:val="007962E1"/>
    <w:rsid w:val="00796B15"/>
    <w:rsid w:val="007977CE"/>
    <w:rsid w:val="00797DAA"/>
    <w:rsid w:val="00797FCF"/>
    <w:rsid w:val="007A0616"/>
    <w:rsid w:val="007A0BDA"/>
    <w:rsid w:val="007A0CDD"/>
    <w:rsid w:val="007A0D0D"/>
    <w:rsid w:val="007A0DAC"/>
    <w:rsid w:val="007A1189"/>
    <w:rsid w:val="007A143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AAC"/>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BA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4EC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68F"/>
    <w:rsid w:val="008E378A"/>
    <w:rsid w:val="008E3F52"/>
    <w:rsid w:val="008E412D"/>
    <w:rsid w:val="008E451A"/>
    <w:rsid w:val="008E48FD"/>
    <w:rsid w:val="008E4CA5"/>
    <w:rsid w:val="008E4F44"/>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94B"/>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9B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16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57C"/>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918"/>
    <w:rsid w:val="00993D38"/>
    <w:rsid w:val="00994484"/>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87A"/>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E97"/>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752"/>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8D7"/>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433"/>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10B"/>
    <w:rsid w:val="00AB1705"/>
    <w:rsid w:val="00AB1A33"/>
    <w:rsid w:val="00AB1E8D"/>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96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301"/>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80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28"/>
    <w:rsid w:val="00B3057A"/>
    <w:rsid w:val="00B308C7"/>
    <w:rsid w:val="00B317EB"/>
    <w:rsid w:val="00B318CB"/>
    <w:rsid w:val="00B31C72"/>
    <w:rsid w:val="00B31E5F"/>
    <w:rsid w:val="00B31ED4"/>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DF9"/>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3B35"/>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721"/>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4D"/>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B94"/>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D50"/>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1D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6D72"/>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1FC2"/>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0F02"/>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20C"/>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142"/>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19A"/>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F14"/>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A1"/>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19A"/>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4F7E"/>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826"/>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3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BA1"/>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473"/>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6B19B3"/>
    <w:rsid w:val="0284643E"/>
    <w:rsid w:val="02E94111"/>
    <w:rsid w:val="03532C3F"/>
    <w:rsid w:val="03B25C4C"/>
    <w:rsid w:val="03F94E83"/>
    <w:rsid w:val="03FC4856"/>
    <w:rsid w:val="041A02D2"/>
    <w:rsid w:val="044E0341"/>
    <w:rsid w:val="04B701E4"/>
    <w:rsid w:val="05071843"/>
    <w:rsid w:val="05DC2865"/>
    <w:rsid w:val="06514854"/>
    <w:rsid w:val="06797D1E"/>
    <w:rsid w:val="067D4C1C"/>
    <w:rsid w:val="06B127E5"/>
    <w:rsid w:val="072F2729"/>
    <w:rsid w:val="07C21FA9"/>
    <w:rsid w:val="07CA2248"/>
    <w:rsid w:val="08641C88"/>
    <w:rsid w:val="088802BC"/>
    <w:rsid w:val="08D9192F"/>
    <w:rsid w:val="0957797D"/>
    <w:rsid w:val="0972706B"/>
    <w:rsid w:val="09C21BB6"/>
    <w:rsid w:val="0A041F17"/>
    <w:rsid w:val="0A867EAB"/>
    <w:rsid w:val="0AE775AC"/>
    <w:rsid w:val="0AFC60B7"/>
    <w:rsid w:val="0B885220"/>
    <w:rsid w:val="0BAD7041"/>
    <w:rsid w:val="0C146EAA"/>
    <w:rsid w:val="0C246133"/>
    <w:rsid w:val="0C4504A9"/>
    <w:rsid w:val="0C6F5654"/>
    <w:rsid w:val="0D132BA9"/>
    <w:rsid w:val="0D660AC2"/>
    <w:rsid w:val="0D672BF6"/>
    <w:rsid w:val="0E120AD5"/>
    <w:rsid w:val="0EB06FFE"/>
    <w:rsid w:val="0EBC617F"/>
    <w:rsid w:val="10150A41"/>
    <w:rsid w:val="106E6C42"/>
    <w:rsid w:val="11A042BE"/>
    <w:rsid w:val="12085E93"/>
    <w:rsid w:val="1257267A"/>
    <w:rsid w:val="12603CCB"/>
    <w:rsid w:val="12A23DDF"/>
    <w:rsid w:val="12A472D8"/>
    <w:rsid w:val="12FE321B"/>
    <w:rsid w:val="130859B8"/>
    <w:rsid w:val="13D56160"/>
    <w:rsid w:val="141F2191"/>
    <w:rsid w:val="15183236"/>
    <w:rsid w:val="1575AEB2"/>
    <w:rsid w:val="157B604F"/>
    <w:rsid w:val="15883FDE"/>
    <w:rsid w:val="158B5B72"/>
    <w:rsid w:val="15A60385"/>
    <w:rsid w:val="164F7F6D"/>
    <w:rsid w:val="165E068A"/>
    <w:rsid w:val="1690558C"/>
    <w:rsid w:val="16A55904"/>
    <w:rsid w:val="1702D3F2"/>
    <w:rsid w:val="17B40A00"/>
    <w:rsid w:val="188D2058"/>
    <w:rsid w:val="18BA7603"/>
    <w:rsid w:val="18FD3F86"/>
    <w:rsid w:val="19027A92"/>
    <w:rsid w:val="192B740B"/>
    <w:rsid w:val="19497C62"/>
    <w:rsid w:val="1A514204"/>
    <w:rsid w:val="1B2E6DC7"/>
    <w:rsid w:val="1B5316CE"/>
    <w:rsid w:val="1B5E59D2"/>
    <w:rsid w:val="1B705EE2"/>
    <w:rsid w:val="1BF401F9"/>
    <w:rsid w:val="1C766428"/>
    <w:rsid w:val="1C9D272D"/>
    <w:rsid w:val="1DD50930"/>
    <w:rsid w:val="1DF407BB"/>
    <w:rsid w:val="1DFB2FC6"/>
    <w:rsid w:val="1E38003B"/>
    <w:rsid w:val="1E6E273D"/>
    <w:rsid w:val="1E9256F7"/>
    <w:rsid w:val="1F475584"/>
    <w:rsid w:val="1F850095"/>
    <w:rsid w:val="1FAB0E65"/>
    <w:rsid w:val="1FB91CD0"/>
    <w:rsid w:val="20910CB1"/>
    <w:rsid w:val="20C234B0"/>
    <w:rsid w:val="20CD42FE"/>
    <w:rsid w:val="20E8511F"/>
    <w:rsid w:val="21035A99"/>
    <w:rsid w:val="21282288"/>
    <w:rsid w:val="22A86F63"/>
    <w:rsid w:val="22B21F7A"/>
    <w:rsid w:val="23680C07"/>
    <w:rsid w:val="239E142D"/>
    <w:rsid w:val="245870DE"/>
    <w:rsid w:val="247247A7"/>
    <w:rsid w:val="2473146A"/>
    <w:rsid w:val="24B531BA"/>
    <w:rsid w:val="264B0F73"/>
    <w:rsid w:val="266E594E"/>
    <w:rsid w:val="27C5366D"/>
    <w:rsid w:val="27DD67CA"/>
    <w:rsid w:val="28174410"/>
    <w:rsid w:val="28690808"/>
    <w:rsid w:val="28B07E55"/>
    <w:rsid w:val="28B54AA2"/>
    <w:rsid w:val="2943581C"/>
    <w:rsid w:val="294D6347"/>
    <w:rsid w:val="296D102B"/>
    <w:rsid w:val="297E2D0F"/>
    <w:rsid w:val="29C47F9E"/>
    <w:rsid w:val="2A0F0B23"/>
    <w:rsid w:val="2A4E5A65"/>
    <w:rsid w:val="2AFE2B7E"/>
    <w:rsid w:val="2D376513"/>
    <w:rsid w:val="2DC863F1"/>
    <w:rsid w:val="2EB72406"/>
    <w:rsid w:val="2ED506AC"/>
    <w:rsid w:val="2F2367DE"/>
    <w:rsid w:val="2F56010B"/>
    <w:rsid w:val="2FE768C6"/>
    <w:rsid w:val="314D16B3"/>
    <w:rsid w:val="31542D3B"/>
    <w:rsid w:val="32450603"/>
    <w:rsid w:val="3272003C"/>
    <w:rsid w:val="32832752"/>
    <w:rsid w:val="3295041E"/>
    <w:rsid w:val="32FE23BF"/>
    <w:rsid w:val="330E6893"/>
    <w:rsid w:val="33DE0CB9"/>
    <w:rsid w:val="33E871F2"/>
    <w:rsid w:val="3511129D"/>
    <w:rsid w:val="353E6F1F"/>
    <w:rsid w:val="35416962"/>
    <w:rsid w:val="35597390"/>
    <w:rsid w:val="359455FE"/>
    <w:rsid w:val="36CD07B0"/>
    <w:rsid w:val="373750E3"/>
    <w:rsid w:val="3758359D"/>
    <w:rsid w:val="375C57D7"/>
    <w:rsid w:val="37DD651E"/>
    <w:rsid w:val="37F575D7"/>
    <w:rsid w:val="387C359D"/>
    <w:rsid w:val="38910966"/>
    <w:rsid w:val="389E4761"/>
    <w:rsid w:val="38AA4D24"/>
    <w:rsid w:val="38BA113F"/>
    <w:rsid w:val="397D1F3D"/>
    <w:rsid w:val="39995A8E"/>
    <w:rsid w:val="39C76B54"/>
    <w:rsid w:val="39E338CD"/>
    <w:rsid w:val="3A135075"/>
    <w:rsid w:val="3A8424B5"/>
    <w:rsid w:val="3AB31D0C"/>
    <w:rsid w:val="3AFA1FEA"/>
    <w:rsid w:val="3B443F77"/>
    <w:rsid w:val="3B4A3B53"/>
    <w:rsid w:val="3BF47021"/>
    <w:rsid w:val="3C923082"/>
    <w:rsid w:val="3CB37964"/>
    <w:rsid w:val="3D0354C7"/>
    <w:rsid w:val="3D365418"/>
    <w:rsid w:val="3D7642C9"/>
    <w:rsid w:val="3D830E22"/>
    <w:rsid w:val="3DCC205D"/>
    <w:rsid w:val="3DDA6D42"/>
    <w:rsid w:val="3DEC335B"/>
    <w:rsid w:val="3E1F469C"/>
    <w:rsid w:val="3E7347F4"/>
    <w:rsid w:val="3EF83C43"/>
    <w:rsid w:val="3F01664D"/>
    <w:rsid w:val="3F175FC8"/>
    <w:rsid w:val="3FD010A5"/>
    <w:rsid w:val="3FE81508"/>
    <w:rsid w:val="40850DCD"/>
    <w:rsid w:val="40B20AEE"/>
    <w:rsid w:val="40B56037"/>
    <w:rsid w:val="41AC1D9C"/>
    <w:rsid w:val="41ED1614"/>
    <w:rsid w:val="4242619A"/>
    <w:rsid w:val="42B20782"/>
    <w:rsid w:val="42B33F72"/>
    <w:rsid w:val="44917C93"/>
    <w:rsid w:val="44C767F4"/>
    <w:rsid w:val="45433F79"/>
    <w:rsid w:val="4591580A"/>
    <w:rsid w:val="46CE196D"/>
    <w:rsid w:val="46D41E44"/>
    <w:rsid w:val="47203236"/>
    <w:rsid w:val="479B6A40"/>
    <w:rsid w:val="47AE2F53"/>
    <w:rsid w:val="48196BDA"/>
    <w:rsid w:val="482E1559"/>
    <w:rsid w:val="489217E2"/>
    <w:rsid w:val="49006150"/>
    <w:rsid w:val="49446ABC"/>
    <w:rsid w:val="496938E0"/>
    <w:rsid w:val="49882B35"/>
    <w:rsid w:val="49DC6DFE"/>
    <w:rsid w:val="4A610A12"/>
    <w:rsid w:val="4AD132DA"/>
    <w:rsid w:val="4B3872E6"/>
    <w:rsid w:val="4C4C7997"/>
    <w:rsid w:val="4CA149AE"/>
    <w:rsid w:val="4DEE07E8"/>
    <w:rsid w:val="4DF51404"/>
    <w:rsid w:val="4E5633F4"/>
    <w:rsid w:val="4E7740D9"/>
    <w:rsid w:val="4EAC0AFF"/>
    <w:rsid w:val="4EC2021D"/>
    <w:rsid w:val="4F0C7C86"/>
    <w:rsid w:val="4F0E5428"/>
    <w:rsid w:val="4F665581"/>
    <w:rsid w:val="4FBA7727"/>
    <w:rsid w:val="4FF62963"/>
    <w:rsid w:val="501A7BD3"/>
    <w:rsid w:val="50DA0D98"/>
    <w:rsid w:val="50FD13B2"/>
    <w:rsid w:val="51985E8D"/>
    <w:rsid w:val="51B85BFC"/>
    <w:rsid w:val="52FE30BB"/>
    <w:rsid w:val="536E79E7"/>
    <w:rsid w:val="53C665E4"/>
    <w:rsid w:val="53E71661"/>
    <w:rsid w:val="54994709"/>
    <w:rsid w:val="54CE2507"/>
    <w:rsid w:val="55181CD2"/>
    <w:rsid w:val="55D01D97"/>
    <w:rsid w:val="562533FD"/>
    <w:rsid w:val="5690109F"/>
    <w:rsid w:val="57137048"/>
    <w:rsid w:val="57244B18"/>
    <w:rsid w:val="57EF6871"/>
    <w:rsid w:val="58240039"/>
    <w:rsid w:val="587A4619"/>
    <w:rsid w:val="58C67114"/>
    <w:rsid w:val="595A121E"/>
    <w:rsid w:val="597E3579"/>
    <w:rsid w:val="59C75644"/>
    <w:rsid w:val="5A402410"/>
    <w:rsid w:val="5AF07FF7"/>
    <w:rsid w:val="5AF422E5"/>
    <w:rsid w:val="5BD5773A"/>
    <w:rsid w:val="5BF26431"/>
    <w:rsid w:val="5DD85542"/>
    <w:rsid w:val="5E780DEA"/>
    <w:rsid w:val="5F631FA8"/>
    <w:rsid w:val="5FAD0A08"/>
    <w:rsid w:val="5FFB4F21"/>
    <w:rsid w:val="605A058C"/>
    <w:rsid w:val="60DB45A6"/>
    <w:rsid w:val="61166880"/>
    <w:rsid w:val="61C46239"/>
    <w:rsid w:val="6378024A"/>
    <w:rsid w:val="64120005"/>
    <w:rsid w:val="64281D7B"/>
    <w:rsid w:val="65507243"/>
    <w:rsid w:val="65576B9C"/>
    <w:rsid w:val="656027FF"/>
    <w:rsid w:val="65CD37D8"/>
    <w:rsid w:val="66457E51"/>
    <w:rsid w:val="6680376E"/>
    <w:rsid w:val="66ED31EA"/>
    <w:rsid w:val="6740450A"/>
    <w:rsid w:val="675640AC"/>
    <w:rsid w:val="67BF7240"/>
    <w:rsid w:val="68684054"/>
    <w:rsid w:val="691A3243"/>
    <w:rsid w:val="696C42BB"/>
    <w:rsid w:val="696E7DFD"/>
    <w:rsid w:val="698A6B0F"/>
    <w:rsid w:val="69A776B4"/>
    <w:rsid w:val="69DB2AB5"/>
    <w:rsid w:val="6A090E1F"/>
    <w:rsid w:val="6A782EAA"/>
    <w:rsid w:val="6ABA5D66"/>
    <w:rsid w:val="6B1D4116"/>
    <w:rsid w:val="6B704279"/>
    <w:rsid w:val="6C7524B1"/>
    <w:rsid w:val="6D020EA1"/>
    <w:rsid w:val="6D45750B"/>
    <w:rsid w:val="6E0F1211"/>
    <w:rsid w:val="6FBD0858"/>
    <w:rsid w:val="714D61B5"/>
    <w:rsid w:val="72E1752D"/>
    <w:rsid w:val="732678A8"/>
    <w:rsid w:val="73A015C2"/>
    <w:rsid w:val="73A913CF"/>
    <w:rsid w:val="73EB1497"/>
    <w:rsid w:val="74000A47"/>
    <w:rsid w:val="74885606"/>
    <w:rsid w:val="751115BE"/>
    <w:rsid w:val="75740E00"/>
    <w:rsid w:val="75757D34"/>
    <w:rsid w:val="75906D83"/>
    <w:rsid w:val="761D2B3C"/>
    <w:rsid w:val="763A080C"/>
    <w:rsid w:val="76EB5B39"/>
    <w:rsid w:val="776F4F23"/>
    <w:rsid w:val="77EC272D"/>
    <w:rsid w:val="78156E78"/>
    <w:rsid w:val="782D5EAF"/>
    <w:rsid w:val="786302A1"/>
    <w:rsid w:val="78905511"/>
    <w:rsid w:val="789F1175"/>
    <w:rsid w:val="78D219DB"/>
    <w:rsid w:val="7931734A"/>
    <w:rsid w:val="7ADB38D4"/>
    <w:rsid w:val="7B680CB8"/>
    <w:rsid w:val="7C863502"/>
    <w:rsid w:val="7C994DB5"/>
    <w:rsid w:val="7D236134"/>
    <w:rsid w:val="7DD2691C"/>
    <w:rsid w:val="7E3563A1"/>
    <w:rsid w:val="7E3E715F"/>
    <w:rsid w:val="7E3F758C"/>
    <w:rsid w:val="7E9326F9"/>
    <w:rsid w:val="7EB56C5D"/>
    <w:rsid w:val="7EE20452"/>
    <w:rsid w:val="7F1F77B0"/>
    <w:rsid w:val="7F395D9C"/>
    <w:rsid w:val="7F53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80"/>
      <w:jc w:val="both"/>
    </w:pPr>
    <w:rPr>
      <w:rFonts w:ascii="Times New Roman" w:hAnsi="Times New Roman" w:eastAsiaTheme="minorAscii" w:cstheme="minorBidi"/>
      <w:kern w:val="2"/>
      <w:sz w:val="20"/>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ilvl w:val="1"/>
        <w:numId w:val="1"/>
      </w:numPr>
      <w:pBdr>
        <w:top w:val="none" w:color="auto" w:sz="0" w:space="0"/>
      </w:pBdr>
      <w:spacing w:before="180"/>
      <w:ind w:left="575" w:hanging="575"/>
      <w:outlineLvl w:val="1"/>
    </w:pPr>
    <w:rPr>
      <w:sz w:val="32"/>
    </w:rPr>
  </w:style>
  <w:style w:type="paragraph" w:styleId="4">
    <w:name w:val="heading 3"/>
    <w:basedOn w:val="3"/>
    <w:next w:val="1"/>
    <w:link w:val="106"/>
    <w:qFormat/>
    <w:uiPriority w:val="0"/>
    <w:pPr>
      <w:numPr>
        <w:ilvl w:val="2"/>
      </w:numPr>
      <w:spacing w:before="120"/>
      <w:ind w:left="720" w:hanging="720"/>
      <w:outlineLvl w:val="2"/>
    </w:pPr>
    <w:rPr>
      <w:sz w:val="28"/>
    </w:rPr>
  </w:style>
  <w:style w:type="paragraph" w:styleId="5">
    <w:name w:val="heading 4"/>
    <w:basedOn w:val="4"/>
    <w:next w:val="1"/>
    <w:link w:val="107"/>
    <w:qFormat/>
    <w:uiPriority w:val="0"/>
    <w:pPr>
      <w:numPr>
        <w:ilvl w:val="3"/>
      </w:numPr>
      <w:ind w:left="864" w:hanging="864"/>
      <w:outlineLvl w:val="3"/>
    </w:pPr>
    <w:rPr>
      <w:sz w:val="24"/>
    </w:rPr>
  </w:style>
  <w:style w:type="paragraph" w:styleId="6">
    <w:name w:val="heading 5"/>
    <w:basedOn w:val="5"/>
    <w:next w:val="1"/>
    <w:link w:val="108"/>
    <w:qFormat/>
    <w:uiPriority w:val="0"/>
    <w:pPr>
      <w:numPr>
        <w:ilvl w:val="4"/>
      </w:numPr>
      <w:ind w:left="1008" w:hanging="1008"/>
      <w:outlineLvl w:val="4"/>
    </w:pPr>
    <w:rPr>
      <w:sz w:val="22"/>
    </w:rPr>
  </w:style>
  <w:style w:type="paragraph" w:styleId="7">
    <w:name w:val="heading 6"/>
    <w:basedOn w:val="8"/>
    <w:next w:val="1"/>
    <w:qFormat/>
    <w:uiPriority w:val="0"/>
    <w:pPr>
      <w:numPr>
        <w:ilvl w:val="5"/>
      </w:numPr>
      <w:ind w:left="1151" w:hanging="1151"/>
      <w:outlineLvl w:val="5"/>
    </w:pPr>
  </w:style>
  <w:style w:type="paragraph" w:styleId="9">
    <w:name w:val="heading 7"/>
    <w:basedOn w:val="8"/>
    <w:next w:val="1"/>
    <w:qFormat/>
    <w:uiPriority w:val="0"/>
    <w:pPr>
      <w:numPr>
        <w:ilvl w:val="6"/>
      </w:numPr>
      <w:ind w:left="1296" w:hanging="1296"/>
      <w:outlineLvl w:val="6"/>
    </w:pPr>
  </w:style>
  <w:style w:type="paragraph" w:styleId="10">
    <w:name w:val="heading 8"/>
    <w:basedOn w:val="2"/>
    <w:next w:val="1"/>
    <w:qFormat/>
    <w:uiPriority w:val="0"/>
    <w:pPr>
      <w:numPr>
        <w:ilvl w:val="7"/>
        <w:numId w:val="1"/>
      </w:numPr>
      <w:ind w:left="1440" w:hanging="1440"/>
      <w:outlineLvl w:val="7"/>
    </w:pPr>
  </w:style>
  <w:style w:type="paragraph" w:styleId="11">
    <w:name w:val="heading 9"/>
    <w:basedOn w:val="10"/>
    <w:next w:val="1"/>
    <w:qFormat/>
    <w:uiPriority w:val="0"/>
    <w:pPr>
      <w:numPr>
        <w:ilvl w:val="8"/>
      </w:numPr>
      <w:ind w:left="1583" w:hanging="1583"/>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qFormat/>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cstheme="minorBidi"/>
      <w:kern w:val="2"/>
      <w:sz w:val="36"/>
      <w:szCs w:val="22"/>
      <w:lang w:val="en-GB" w:eastAsia="en-US"/>
    </w:rPr>
  </w:style>
  <w:style w:type="character" w:customStyle="1" w:styleId="105">
    <w:name w:val="标题 2 Char"/>
    <w:link w:val="3"/>
    <w:qFormat/>
    <w:uiPriority w:val="0"/>
    <w:rPr>
      <w:rFonts w:ascii="Arial" w:hAnsi="Arial" w:cstheme="minorBidi"/>
      <w:kern w:val="2"/>
      <w:sz w:val="32"/>
      <w:szCs w:val="22"/>
      <w:lang w:val="en-GB" w:eastAsia="en-US"/>
    </w:rPr>
  </w:style>
  <w:style w:type="character" w:customStyle="1" w:styleId="106">
    <w:name w:val="标题 3 Char"/>
    <w:link w:val="4"/>
    <w:qFormat/>
    <w:uiPriority w:val="0"/>
    <w:rPr>
      <w:rFonts w:ascii="Arial" w:hAnsi="Arial" w:cstheme="minorBidi"/>
      <w:kern w:val="2"/>
      <w:sz w:val="28"/>
      <w:szCs w:val="22"/>
      <w:lang w:val="en-GB" w:eastAsia="en-US"/>
    </w:rPr>
  </w:style>
  <w:style w:type="character" w:customStyle="1" w:styleId="107">
    <w:name w:val="标题 4 Char"/>
    <w:link w:val="5"/>
    <w:qFormat/>
    <w:uiPriority w:val="0"/>
    <w:rPr>
      <w:rFonts w:ascii="Arial" w:hAnsi="Arial" w:cstheme="minorBidi"/>
      <w:kern w:val="2"/>
      <w:sz w:val="24"/>
      <w:szCs w:val="22"/>
      <w:lang w:val="en-GB" w:eastAsia="en-US"/>
    </w:rPr>
  </w:style>
  <w:style w:type="character" w:customStyle="1" w:styleId="108">
    <w:name w:val="标题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6.xml"/><Relationship Id="rId26" Type="http://schemas.openxmlformats.org/officeDocument/2006/relationships/customXml" Target="../customXml/item5.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3.emf"/><Relationship Id="rId2" Type="http://schemas.openxmlformats.org/officeDocument/2006/relationships/settings" Target="settings.xml"/><Relationship Id="rId19" Type="http://schemas.openxmlformats.org/officeDocument/2006/relationships/image" Target="media/image12.emf"/><Relationship Id="rId18" Type="http://schemas.openxmlformats.org/officeDocument/2006/relationships/image" Target="media/image11.emf"/><Relationship Id="rId17" Type="http://schemas.openxmlformats.org/officeDocument/2006/relationships/image" Target="media/image10.emf"/><Relationship Id="rId16" Type="http://schemas.openxmlformats.org/officeDocument/2006/relationships/image" Target="media/image9.emf"/><Relationship Id="rId15" Type="http://schemas.openxmlformats.org/officeDocument/2006/relationships/image" Target="media/image8.emf"/><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F86BEC-A8BD-42EF-8441-BD11A11352FB}">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18</Pages>
  <Words>6282</Words>
  <Characters>35808</Characters>
  <Lines>298</Lines>
  <Paragraphs>84</Paragraphs>
  <TotalTime>6</TotalTime>
  <ScaleCrop>false</ScaleCrop>
  <LinksUpToDate>false</LinksUpToDate>
  <CharactersWithSpaces>42006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2021-05-07T08:57:00Z</dcterms:created>
  <dc:creator>ZTE Corporation</dc:creator>
  <cp:lastModifiedBy>xiaokai</cp:lastModifiedBy>
  <cp:lastPrinted>2018-04-07T03:05:00Z</cp:lastPrinted>
  <dcterms:modified xsi:type="dcterms:W3CDTF">2021-05-10T06:25:18Z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